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0" w:firstLineChars="0"/>
        <w:rPr>
          <w:rFonts w:ascii="Times New Roman" w:hAnsi="Times New Roman" w:cs="Times New Roman"/>
          <w:b/>
          <w:sz w:val="44"/>
          <w:szCs w:val="44"/>
        </w:rPr>
      </w:pPr>
      <w:bookmarkStart w:id="12" w:name="_GoBack"/>
      <w:bookmarkEnd w:id="12"/>
    </w:p>
    <w:p>
      <w:pPr>
        <w:spacing w:line="640" w:lineRule="exact"/>
        <w:ind w:left="1760" w:hanging="1760" w:hangingChars="40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临沂市兰山区应急物资储备体系建设规划</w:t>
      </w:r>
    </w:p>
    <w:p>
      <w:pPr>
        <w:spacing w:line="640" w:lineRule="exact"/>
        <w:ind w:left="1760" w:hanging="1760" w:hangingChars="40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(2022—2030年)</w:t>
      </w:r>
    </w:p>
    <w:p>
      <w:pPr>
        <w:spacing w:line="640" w:lineRule="exact"/>
        <w:ind w:left="1280" w:hanging="1280" w:hangingChars="400"/>
        <w:jc w:val="center"/>
        <w:rPr>
          <w:rFonts w:ascii="楷体" w:hAnsi="楷体" w:eastAsia="楷体" w:cs="Times New Roman"/>
          <w:sz w:val="32"/>
          <w:szCs w:val="32"/>
        </w:rPr>
      </w:pPr>
      <w:r>
        <w:rPr>
          <w:rFonts w:hint="eastAsia" w:ascii="楷体" w:hAnsi="楷体" w:eastAsia="楷体" w:cs="Times New Roman"/>
          <w:sz w:val="32"/>
          <w:szCs w:val="32"/>
        </w:rPr>
        <w:t>（征求意见稿）</w:t>
      </w:r>
    </w:p>
    <w:p>
      <w:pPr>
        <w:spacing w:line="560" w:lineRule="exact"/>
        <w:ind w:firstLine="640"/>
        <w:outlineLvl w:val="2"/>
        <w:rPr>
          <w:rFonts w:ascii="Times New Roman" w:hAnsi="Times New Roman" w:cs="Times New Roman"/>
          <w:sz w:val="32"/>
          <w:szCs w:val="32"/>
        </w:rPr>
      </w:pPr>
    </w:p>
    <w:p>
      <w:pPr>
        <w:spacing w:line="560" w:lineRule="exact"/>
        <w:ind w:firstLine="640"/>
        <w:outlineLvl w:val="2"/>
        <w:rPr>
          <w:rFonts w:hAnsi="仿宋" w:cs="Times New Roman"/>
          <w:sz w:val="32"/>
          <w:szCs w:val="32"/>
        </w:rPr>
      </w:pPr>
      <w:r>
        <w:rPr>
          <w:rFonts w:hAnsi="仿宋" w:cs="Times New Roman"/>
          <w:sz w:val="32"/>
          <w:szCs w:val="32"/>
        </w:rPr>
        <w:t>为加强全</w:t>
      </w:r>
      <w:r>
        <w:rPr>
          <w:rFonts w:hint="eastAsia" w:hAnsi="仿宋" w:cs="Times New Roman"/>
          <w:sz w:val="32"/>
          <w:szCs w:val="32"/>
        </w:rPr>
        <w:t>区</w:t>
      </w:r>
      <w:r>
        <w:rPr>
          <w:rFonts w:hAnsi="仿宋" w:cs="Times New Roman"/>
          <w:sz w:val="32"/>
          <w:szCs w:val="32"/>
        </w:rPr>
        <w:t>应急物资储备体系建设，提高应对处置</w:t>
      </w:r>
      <w:r>
        <w:rPr>
          <w:rFonts w:hint="eastAsia" w:hAnsi="仿宋" w:cs="Times New Roman"/>
          <w:sz w:val="32"/>
          <w:szCs w:val="32"/>
        </w:rPr>
        <w:t>一般</w:t>
      </w:r>
      <w:r>
        <w:rPr>
          <w:rFonts w:hAnsi="仿宋" w:cs="Times New Roman"/>
          <w:sz w:val="32"/>
          <w:szCs w:val="32"/>
        </w:rPr>
        <w:t>突发事件能力和水平，保障人民生命财产安全，依据《中华人民共和国突发事件应对法》《中华人民共和国国家安全法》《山东省突发事件</w:t>
      </w:r>
      <w:r>
        <w:rPr>
          <w:rFonts w:hint="eastAsia" w:hAnsi="仿宋" w:cs="Times New Roman"/>
          <w:sz w:val="32"/>
          <w:szCs w:val="32"/>
        </w:rPr>
        <w:t>应急保障</w:t>
      </w:r>
      <w:r>
        <w:rPr>
          <w:rFonts w:hAnsi="仿宋" w:cs="Times New Roman"/>
          <w:sz w:val="32"/>
          <w:szCs w:val="32"/>
        </w:rPr>
        <w:t>条例》等有关法律法规</w:t>
      </w:r>
      <w:r>
        <w:rPr>
          <w:rFonts w:hint="eastAsia" w:hAnsi="仿宋" w:cs="Times New Roman"/>
          <w:sz w:val="32"/>
          <w:szCs w:val="32"/>
        </w:rPr>
        <w:t>以及《山东省应急物资储备体系建设规划（</w:t>
      </w:r>
      <w:r>
        <w:rPr>
          <w:rFonts w:hAnsi="仿宋" w:cs="Times New Roman"/>
          <w:sz w:val="32"/>
          <w:szCs w:val="32"/>
        </w:rPr>
        <w:t>202</w:t>
      </w:r>
      <w:r>
        <w:rPr>
          <w:rFonts w:hint="eastAsia" w:hAnsi="仿宋" w:cs="Times New Roman"/>
          <w:sz w:val="32"/>
          <w:szCs w:val="32"/>
        </w:rPr>
        <w:t>0</w:t>
      </w:r>
      <w:r>
        <w:rPr>
          <w:rFonts w:hAnsi="仿宋" w:cs="Times New Roman"/>
          <w:sz w:val="32"/>
          <w:szCs w:val="32"/>
        </w:rPr>
        <w:t>-2030年</w:t>
      </w:r>
      <w:r>
        <w:rPr>
          <w:rFonts w:hint="eastAsia" w:hAnsi="仿宋" w:cs="Times New Roman"/>
          <w:sz w:val="32"/>
          <w:szCs w:val="32"/>
        </w:rPr>
        <w:t>）》（鲁政办字</w:t>
      </w:r>
      <w:r>
        <w:rPr>
          <w:rFonts w:hint="eastAsia" w:hAnsi="仿宋"/>
          <w:sz w:val="32"/>
          <w:szCs w:val="32"/>
        </w:rPr>
        <w:t>〔2020〕</w:t>
      </w:r>
      <w:r>
        <w:rPr>
          <w:rFonts w:hint="eastAsia" w:hAnsi="仿宋" w:cs="Times New Roman"/>
          <w:sz w:val="32"/>
          <w:szCs w:val="32"/>
        </w:rPr>
        <w:t>170号）</w:t>
      </w:r>
      <w:r>
        <w:rPr>
          <w:rFonts w:hAnsi="仿宋" w:cs="Times New Roman"/>
          <w:sz w:val="32"/>
          <w:szCs w:val="32"/>
        </w:rPr>
        <w:t>《</w:t>
      </w:r>
      <w:r>
        <w:rPr>
          <w:rFonts w:hint="eastAsia" w:hAnsi="仿宋" w:cs="Times New Roman"/>
          <w:sz w:val="32"/>
          <w:szCs w:val="32"/>
        </w:rPr>
        <w:t>临沂市</w:t>
      </w:r>
      <w:r>
        <w:rPr>
          <w:rFonts w:hAnsi="仿宋" w:cs="Times New Roman"/>
          <w:sz w:val="32"/>
          <w:szCs w:val="32"/>
        </w:rPr>
        <w:t>应急物资储备体系建设规划（202</w:t>
      </w:r>
      <w:r>
        <w:rPr>
          <w:rFonts w:hint="eastAsia" w:hAnsi="仿宋" w:cs="Times New Roman"/>
          <w:sz w:val="32"/>
          <w:szCs w:val="32"/>
        </w:rPr>
        <w:t>1</w:t>
      </w:r>
      <w:r>
        <w:rPr>
          <w:rFonts w:hAnsi="仿宋" w:cs="Times New Roman"/>
          <w:sz w:val="32"/>
          <w:szCs w:val="32"/>
        </w:rPr>
        <w:t>-2030年）</w:t>
      </w:r>
      <w:r>
        <w:rPr>
          <w:rFonts w:hint="eastAsia" w:hAnsi="仿宋" w:cs="Times New Roman"/>
          <w:sz w:val="32"/>
          <w:szCs w:val="32"/>
        </w:rPr>
        <w:t>》（临政办字〔2021〕92号）的要求</w:t>
      </w:r>
      <w:r>
        <w:rPr>
          <w:rFonts w:hAnsi="仿宋" w:cs="Times New Roman"/>
          <w:sz w:val="32"/>
          <w:szCs w:val="32"/>
        </w:rPr>
        <w:t>，</w:t>
      </w:r>
      <w:r>
        <w:rPr>
          <w:rFonts w:hint="eastAsia" w:hAnsi="仿宋" w:cs="Times New Roman"/>
          <w:sz w:val="32"/>
          <w:szCs w:val="32"/>
        </w:rPr>
        <w:t>制定</w:t>
      </w:r>
      <w:r>
        <w:rPr>
          <w:rFonts w:hAnsi="仿宋" w:cs="Times New Roman"/>
          <w:sz w:val="32"/>
          <w:szCs w:val="32"/>
        </w:rPr>
        <w:t>本规划。</w:t>
      </w:r>
      <w:bookmarkStart w:id="0" w:name="_Toc1680"/>
    </w:p>
    <w:p>
      <w:pPr>
        <w:spacing w:line="560" w:lineRule="exact"/>
        <w:ind w:firstLine="640"/>
        <w:outlineLvl w:val="2"/>
        <w:rPr>
          <w:rFonts w:ascii="Times New Roman" w:hAnsi="Times New Roman" w:eastAsia="仿宋_GB2312" w:cs="Times New Roman"/>
          <w:sz w:val="32"/>
          <w:szCs w:val="32"/>
        </w:rPr>
      </w:pPr>
      <w:r>
        <w:rPr>
          <w:rFonts w:ascii="Times New Roman" w:hAnsi="Times New Roman" w:eastAsia="黑体" w:cs="Times New Roman"/>
          <w:sz w:val="32"/>
          <w:szCs w:val="32"/>
        </w:rPr>
        <w:t>一、</w:t>
      </w:r>
      <w:bookmarkEnd w:id="0"/>
      <w:r>
        <w:rPr>
          <w:rFonts w:ascii="Times New Roman" w:hAnsi="Times New Roman" w:eastAsia="黑体" w:cs="Times New Roman"/>
          <w:sz w:val="32"/>
          <w:szCs w:val="32"/>
        </w:rPr>
        <w:t>总体要求</w:t>
      </w:r>
    </w:p>
    <w:p>
      <w:pPr>
        <w:spacing w:line="560" w:lineRule="exact"/>
        <w:ind w:firstLine="640"/>
        <w:outlineLvl w:val="2"/>
        <w:rPr>
          <w:rFonts w:hAnsi="仿宋" w:cs="Times New Roman"/>
          <w:sz w:val="32"/>
          <w:szCs w:val="32"/>
        </w:rPr>
      </w:pPr>
      <w:r>
        <w:rPr>
          <w:rFonts w:hAnsi="仿宋" w:cs="Times New Roman"/>
          <w:sz w:val="32"/>
          <w:szCs w:val="32"/>
        </w:rPr>
        <w:t>以习近平新时代中国特色社会主义思想为指导，学习贯彻习近平总书记关于应急管理体系和能力现代化重要论述和重要指示批示精神，全面贯彻党的十九大和十九届二中、三中、四中、五中</w:t>
      </w:r>
      <w:r>
        <w:rPr>
          <w:rFonts w:hint="eastAsia" w:hAnsi="仿宋" w:cs="Times New Roman"/>
          <w:sz w:val="32"/>
          <w:szCs w:val="32"/>
        </w:rPr>
        <w:t>、六中</w:t>
      </w:r>
      <w:r>
        <w:rPr>
          <w:rFonts w:hAnsi="仿宋" w:cs="Times New Roman"/>
          <w:sz w:val="32"/>
          <w:szCs w:val="32"/>
        </w:rPr>
        <w:t>全会精神，深入落实</w:t>
      </w:r>
      <w:r>
        <w:rPr>
          <w:rFonts w:hint="eastAsia" w:hAnsi="仿宋" w:cs="Times New Roman"/>
          <w:sz w:val="32"/>
          <w:szCs w:val="32"/>
        </w:rPr>
        <w:t>市</w:t>
      </w:r>
      <w:r>
        <w:rPr>
          <w:rFonts w:hAnsi="仿宋" w:cs="Times New Roman"/>
          <w:sz w:val="32"/>
          <w:szCs w:val="32"/>
        </w:rPr>
        <w:t>委、</w:t>
      </w:r>
      <w:r>
        <w:rPr>
          <w:rFonts w:hint="eastAsia" w:hAnsi="仿宋" w:cs="Times New Roman"/>
          <w:sz w:val="32"/>
          <w:szCs w:val="32"/>
        </w:rPr>
        <w:t>市</w:t>
      </w:r>
      <w:r>
        <w:rPr>
          <w:rFonts w:hAnsi="仿宋" w:cs="Times New Roman"/>
          <w:sz w:val="32"/>
          <w:szCs w:val="32"/>
        </w:rPr>
        <w:t>政府和</w:t>
      </w:r>
      <w:r>
        <w:rPr>
          <w:rFonts w:hint="eastAsia" w:hAnsi="仿宋" w:cs="Times New Roman"/>
          <w:sz w:val="32"/>
          <w:szCs w:val="32"/>
        </w:rPr>
        <w:t>区</w:t>
      </w:r>
      <w:r>
        <w:rPr>
          <w:rFonts w:hAnsi="仿宋" w:cs="Times New Roman"/>
          <w:sz w:val="32"/>
          <w:szCs w:val="32"/>
        </w:rPr>
        <w:t>委、</w:t>
      </w:r>
      <w:r>
        <w:rPr>
          <w:rFonts w:hint="eastAsia" w:hAnsi="仿宋" w:cs="Times New Roman"/>
          <w:sz w:val="32"/>
          <w:szCs w:val="32"/>
        </w:rPr>
        <w:t>区</w:t>
      </w:r>
      <w:r>
        <w:rPr>
          <w:rFonts w:hAnsi="仿宋" w:cs="Times New Roman"/>
          <w:sz w:val="32"/>
          <w:szCs w:val="32"/>
        </w:rPr>
        <w:t>政府部署，以建立健全集中统一的应急物资保障体系为目标，按照集中管理、统一调拨、平时服务、灾时应急、采储结合、节约高效的原则，理顺体制、明确职责、优化布局、提升能力，</w:t>
      </w:r>
      <w:r>
        <w:rPr>
          <w:rFonts w:hint="eastAsia" w:hAnsi="仿宋" w:cs="Times New Roman"/>
          <w:sz w:val="32"/>
          <w:szCs w:val="32"/>
        </w:rPr>
        <w:t>相对</w:t>
      </w:r>
      <w:r>
        <w:rPr>
          <w:rFonts w:hAnsi="仿宋" w:cs="Times New Roman"/>
          <w:sz w:val="32"/>
          <w:szCs w:val="32"/>
        </w:rPr>
        <w:t>完善应急物资储备管理法规制度、标准规范和管理机制，通过政府主导、市场化运作方式，构建政府、企业（商业）、社会和使用单位相衔接的应急物资储备体系，确保关键时刻拿得出、调得快、用得上、有保证，有效应对</w:t>
      </w:r>
      <w:r>
        <w:rPr>
          <w:rFonts w:hint="eastAsia" w:hAnsi="仿宋" w:cs="Times New Roman"/>
          <w:sz w:val="32"/>
          <w:szCs w:val="32"/>
        </w:rPr>
        <w:t>一般</w:t>
      </w:r>
      <w:r>
        <w:rPr>
          <w:rFonts w:hAnsi="仿宋" w:cs="Times New Roman"/>
          <w:sz w:val="32"/>
          <w:szCs w:val="32"/>
        </w:rPr>
        <w:t>突发事件，切实维护人民群众生命财产安全。</w:t>
      </w:r>
    </w:p>
    <w:p>
      <w:pPr>
        <w:spacing w:line="560" w:lineRule="exact"/>
        <w:ind w:firstLine="640"/>
        <w:outlineLvl w:val="2"/>
        <w:rPr>
          <w:rFonts w:ascii="Times New Roman" w:hAnsi="Times New Roman" w:eastAsia="黑体" w:cs="Times New Roman"/>
          <w:sz w:val="32"/>
          <w:szCs w:val="32"/>
        </w:rPr>
      </w:pPr>
      <w:r>
        <w:rPr>
          <w:rFonts w:ascii="Times New Roman" w:hAnsi="Times New Roman" w:eastAsia="黑体" w:cs="Times New Roman"/>
          <w:sz w:val="32"/>
          <w:szCs w:val="32"/>
        </w:rPr>
        <w:t>二、规划目标</w:t>
      </w:r>
    </w:p>
    <w:p>
      <w:pPr>
        <w:spacing w:line="560" w:lineRule="exact"/>
        <w:ind w:firstLine="640"/>
        <w:outlineLvl w:val="2"/>
        <w:rPr>
          <w:rFonts w:hAnsi="仿宋" w:cs="Times New Roman"/>
          <w:sz w:val="32"/>
          <w:szCs w:val="32"/>
        </w:rPr>
      </w:pPr>
      <w:r>
        <w:rPr>
          <w:rFonts w:hAnsi="仿宋" w:cs="Times New Roman"/>
          <w:sz w:val="32"/>
          <w:szCs w:val="32"/>
        </w:rPr>
        <w:t>以补短板强弱项为导向、以理顺体制机制为保障、以整合优化职能为支撑，到2025年初步建成分级分类管理、反应迅速、保障有力的应急物资储备体系，全</w:t>
      </w:r>
      <w:r>
        <w:rPr>
          <w:rFonts w:hint="eastAsia" w:hAnsi="仿宋" w:cs="Times New Roman"/>
          <w:sz w:val="32"/>
          <w:szCs w:val="32"/>
        </w:rPr>
        <w:t>区</w:t>
      </w:r>
      <w:r>
        <w:rPr>
          <w:rFonts w:hAnsi="仿宋" w:cs="Times New Roman"/>
          <w:sz w:val="32"/>
          <w:szCs w:val="32"/>
        </w:rPr>
        <w:t>应急物资储备能力和管理水平得到提升。到2030年建成分级分类储备、规模适度、品类齐全、布局合理、管理有序的应急物资储备体系，实现统一规划、统一布局、统一管理和统一调度，增强防范和应对处置突发事件的能力。</w:t>
      </w:r>
    </w:p>
    <w:p>
      <w:pPr>
        <w:spacing w:line="560" w:lineRule="exact"/>
        <w:ind w:firstLine="640"/>
        <w:outlineLvl w:val="2"/>
        <w:rPr>
          <w:rFonts w:hAnsi="仿宋" w:cs="Times New Roman"/>
          <w:sz w:val="32"/>
          <w:szCs w:val="32"/>
        </w:rPr>
      </w:pPr>
      <w:r>
        <w:rPr>
          <w:rFonts w:hAnsi="仿宋" w:cs="Times New Roman"/>
          <w:sz w:val="32"/>
          <w:szCs w:val="32"/>
        </w:rPr>
        <w:t>——应急物资管理体制机制健全完善。</w:t>
      </w:r>
      <w:r>
        <w:rPr>
          <w:rFonts w:hint="eastAsia" w:hAnsi="仿宋" w:cs="Times New Roman"/>
          <w:sz w:val="32"/>
          <w:szCs w:val="32"/>
        </w:rPr>
        <w:t>一般</w:t>
      </w:r>
      <w:r>
        <w:rPr>
          <w:rFonts w:hAnsi="仿宋" w:cs="Times New Roman"/>
          <w:sz w:val="32"/>
          <w:szCs w:val="32"/>
        </w:rPr>
        <w:t>公共安全突发事件应急物资管理体制机制进一步健全，整合优化分散在各部门的应急物资保障管理职责，形成职责分工明晰、管理职能完备、协作机制健全、灵敏高效、上下联动的应急物资管理体系。</w:t>
      </w:r>
    </w:p>
    <w:p>
      <w:pPr>
        <w:spacing w:line="560" w:lineRule="exact"/>
        <w:ind w:firstLine="640"/>
        <w:outlineLvl w:val="2"/>
        <w:rPr>
          <w:rFonts w:hAnsi="仿宋" w:cs="Times New Roman"/>
          <w:sz w:val="32"/>
          <w:szCs w:val="32"/>
        </w:rPr>
      </w:pPr>
      <w:r>
        <w:rPr>
          <w:rFonts w:hAnsi="仿宋" w:cs="Times New Roman"/>
          <w:sz w:val="32"/>
          <w:szCs w:val="32"/>
        </w:rPr>
        <w:t>——应急物资储备体系科学完备。加快构建以政府（实物）储备为基础、企业（商业）储备和产能储备为辅助、社会化储备为补充的应急物资储备格局，逐步形成品类丰富、规模适度、布局完善、共享高效的应急物资储备体系，基本满足应对处置</w:t>
      </w:r>
      <w:r>
        <w:rPr>
          <w:rFonts w:hint="eastAsia" w:hAnsi="仿宋" w:cs="Times New Roman"/>
          <w:sz w:val="32"/>
          <w:szCs w:val="32"/>
        </w:rPr>
        <w:t>一般</w:t>
      </w:r>
      <w:r>
        <w:rPr>
          <w:rFonts w:hAnsi="仿宋" w:cs="Times New Roman"/>
          <w:sz w:val="32"/>
          <w:szCs w:val="32"/>
        </w:rPr>
        <w:t>突发事件的需要。</w:t>
      </w:r>
    </w:p>
    <w:p>
      <w:pPr>
        <w:spacing w:line="560" w:lineRule="exact"/>
        <w:ind w:firstLine="640"/>
        <w:outlineLvl w:val="2"/>
        <w:rPr>
          <w:rFonts w:hAnsi="仿宋" w:cs="Times New Roman"/>
          <w:sz w:val="32"/>
          <w:szCs w:val="32"/>
        </w:rPr>
      </w:pPr>
      <w:r>
        <w:rPr>
          <w:rFonts w:hAnsi="仿宋" w:cs="Times New Roman"/>
          <w:sz w:val="32"/>
          <w:szCs w:val="32"/>
        </w:rPr>
        <w:t>——应急救援队伍装备持续改善。加强应急救援队伍装备配备，加快构建综合消防救援队伍和专业救援队伍互为支撑的装备保障机制，促进综合消防救援队伍能力显著提升、专业救援队伍不断壮大、社会应急救援力量健康有序发展，有效提升应急救援能力。</w:t>
      </w:r>
    </w:p>
    <w:p>
      <w:pPr>
        <w:spacing w:line="560" w:lineRule="exact"/>
        <w:ind w:firstLine="640"/>
        <w:outlineLvl w:val="2"/>
        <w:rPr>
          <w:rFonts w:hAnsi="仿宋" w:cs="Times New Roman"/>
          <w:sz w:val="32"/>
          <w:szCs w:val="32"/>
        </w:rPr>
      </w:pPr>
      <w:r>
        <w:rPr>
          <w:rFonts w:hAnsi="仿宋" w:cs="Times New Roman"/>
          <w:sz w:val="32"/>
          <w:szCs w:val="32"/>
        </w:rPr>
        <w:t>——应急物资要素市场化配置持续优化。建立应急物资生产调配、紧急调拨、采购等制度，提高应急状态下的要素高效协同配置能力。积极运用大数据、人工智能、云计算、物联网等数字技术，在应急管理、产业发展、资源调配、社会管理等方面更好发挥作用。</w:t>
      </w:r>
      <w:bookmarkStart w:id="1" w:name="_Toc16213"/>
    </w:p>
    <w:p>
      <w:pPr>
        <w:spacing w:line="560" w:lineRule="exact"/>
        <w:ind w:firstLine="640"/>
        <w:outlineLvl w:val="2"/>
        <w:rPr>
          <w:rFonts w:ascii="Times New Roman" w:hAnsi="Times New Roman" w:eastAsia="黑体" w:cs="Times New Roman"/>
          <w:sz w:val="32"/>
          <w:szCs w:val="32"/>
        </w:rPr>
      </w:pPr>
      <w:r>
        <w:rPr>
          <w:rFonts w:ascii="Times New Roman" w:hAnsi="Times New Roman" w:eastAsia="黑体" w:cs="Times New Roman"/>
          <w:sz w:val="32"/>
          <w:szCs w:val="32"/>
        </w:rPr>
        <w:t>三、重点任务</w:t>
      </w:r>
      <w:bookmarkEnd w:id="1"/>
      <w:bookmarkStart w:id="2" w:name="_Toc553"/>
    </w:p>
    <w:p>
      <w:pPr>
        <w:spacing w:line="560" w:lineRule="exact"/>
        <w:ind w:firstLine="640"/>
        <w:outlineLvl w:val="2"/>
        <w:rPr>
          <w:rFonts w:ascii="楷体" w:hAnsi="楷体" w:eastAsia="楷体" w:cs="Times New Roman"/>
          <w:sz w:val="32"/>
          <w:szCs w:val="32"/>
        </w:rPr>
      </w:pPr>
      <w:r>
        <w:rPr>
          <w:rFonts w:ascii="楷体" w:hAnsi="楷体" w:eastAsia="楷体" w:cs="Times New Roman"/>
          <w:sz w:val="32"/>
          <w:szCs w:val="32"/>
        </w:rPr>
        <w:t>（一）完善应急物资储备管理体制机制</w:t>
      </w:r>
      <w:bookmarkEnd w:id="2"/>
    </w:p>
    <w:p>
      <w:pPr>
        <w:spacing w:line="560" w:lineRule="exact"/>
        <w:ind w:firstLine="640"/>
        <w:outlineLvl w:val="2"/>
        <w:rPr>
          <w:rFonts w:hAnsi="仿宋" w:cs="Times New Roman"/>
          <w:sz w:val="32"/>
          <w:szCs w:val="32"/>
        </w:rPr>
      </w:pPr>
      <w:r>
        <w:rPr>
          <w:rFonts w:hAnsi="仿宋" w:cs="Times New Roman"/>
          <w:sz w:val="32"/>
          <w:szCs w:val="32"/>
        </w:rPr>
        <w:t>1.加强组织领导。加快构建党委、政府统一领导、应急管理部门统筹协调、统分结合的应急物资储备保障体制，实现统一规划、统一布局、统一管理、统一调度。成立</w:t>
      </w:r>
      <w:r>
        <w:rPr>
          <w:rFonts w:hint="eastAsia" w:hAnsi="仿宋" w:cs="Times New Roman"/>
          <w:sz w:val="32"/>
          <w:szCs w:val="32"/>
        </w:rPr>
        <w:t>兰山区</w:t>
      </w:r>
      <w:r>
        <w:rPr>
          <w:rFonts w:hAnsi="仿宋" w:cs="Times New Roman"/>
          <w:sz w:val="32"/>
          <w:szCs w:val="32"/>
        </w:rPr>
        <w:t>应急物资保障工作领导小组，办公室设在</w:t>
      </w:r>
      <w:r>
        <w:rPr>
          <w:rFonts w:hint="eastAsia" w:hAnsi="仿宋" w:cs="Times New Roman"/>
          <w:sz w:val="32"/>
          <w:szCs w:val="32"/>
        </w:rPr>
        <w:t>区</w:t>
      </w:r>
      <w:r>
        <w:rPr>
          <w:rFonts w:hAnsi="仿宋" w:cs="Times New Roman"/>
          <w:sz w:val="32"/>
          <w:szCs w:val="32"/>
        </w:rPr>
        <w:t>应急管理</w:t>
      </w:r>
      <w:r>
        <w:rPr>
          <w:rFonts w:hint="eastAsia" w:hAnsi="仿宋" w:cs="Times New Roman"/>
          <w:sz w:val="32"/>
          <w:szCs w:val="32"/>
        </w:rPr>
        <w:t>局</w:t>
      </w:r>
      <w:r>
        <w:rPr>
          <w:rFonts w:hAnsi="仿宋" w:cs="Times New Roman"/>
          <w:sz w:val="32"/>
          <w:szCs w:val="32"/>
        </w:rPr>
        <w:t>。</w:t>
      </w:r>
      <w:r>
        <w:rPr>
          <w:rFonts w:hint="eastAsia" w:hAnsi="仿宋" w:cs="Times New Roman"/>
          <w:sz w:val="32"/>
          <w:szCs w:val="32"/>
        </w:rPr>
        <w:t>各镇街（经开区）结合本地实际，分别建立相应机构。</w:t>
      </w:r>
    </w:p>
    <w:p>
      <w:pPr>
        <w:spacing w:line="560" w:lineRule="exact"/>
        <w:ind w:firstLine="640"/>
        <w:outlineLvl w:val="2"/>
        <w:rPr>
          <w:rFonts w:hAnsi="仿宋" w:cs="Times New Roman"/>
          <w:sz w:val="32"/>
          <w:szCs w:val="32"/>
        </w:rPr>
      </w:pPr>
      <w:r>
        <w:rPr>
          <w:rFonts w:hAnsi="仿宋" w:cs="Times New Roman"/>
          <w:sz w:val="32"/>
          <w:szCs w:val="32"/>
        </w:rPr>
        <w:t>2.实行分级分类储备。按照全省 “省级储备为支撑、市级储备为依托、县级储备为基础”的要求，落实市县分级储备责任。</w:t>
      </w:r>
      <w:r>
        <w:rPr>
          <w:rFonts w:hint="eastAsia" w:hAnsi="仿宋" w:cs="Times New Roman"/>
          <w:sz w:val="32"/>
          <w:szCs w:val="32"/>
        </w:rPr>
        <w:t>区</w:t>
      </w:r>
      <w:r>
        <w:rPr>
          <w:rFonts w:hAnsi="仿宋" w:cs="Times New Roman"/>
          <w:sz w:val="32"/>
          <w:szCs w:val="32"/>
        </w:rPr>
        <w:t>级按照应对处置一般（Ⅳ级）突发事件所需，储备符合区域突发事件特点的应急物资。</w:t>
      </w:r>
      <w:r>
        <w:rPr>
          <w:rFonts w:hint="eastAsia" w:hAnsi="仿宋" w:cs="Times New Roman"/>
          <w:sz w:val="32"/>
          <w:szCs w:val="32"/>
        </w:rPr>
        <w:t>各</w:t>
      </w:r>
      <w:r>
        <w:rPr>
          <w:rFonts w:hAnsi="仿宋" w:cs="Times New Roman"/>
          <w:sz w:val="32"/>
          <w:szCs w:val="32"/>
        </w:rPr>
        <w:t>行业部门按职责承担应急物资储备任务（见附表），明确储备地点，科学论证各类应急物资储备重点、规模和方式。</w:t>
      </w:r>
    </w:p>
    <w:p>
      <w:pPr>
        <w:spacing w:line="560" w:lineRule="exact"/>
        <w:ind w:firstLine="640"/>
        <w:outlineLvl w:val="2"/>
        <w:rPr>
          <w:rFonts w:hAnsi="仿宋" w:cs="Times New Roman"/>
          <w:sz w:val="32"/>
          <w:szCs w:val="32"/>
        </w:rPr>
      </w:pPr>
      <w:r>
        <w:rPr>
          <w:rFonts w:hAnsi="仿宋" w:cs="Times New Roman"/>
          <w:sz w:val="32"/>
          <w:szCs w:val="32"/>
        </w:rPr>
        <w:t>3.建立健全分级响应协同保障机制。自然灾害、事故灾难或者公共卫生事件发生后，各级应先行启用本级应急物资储备。在本级储备难以满足需要时，可向上一级提出应急物资调用申请，调用申请应明确需要调用的应急物资种类、规格、数量及调运时间和地点等内容。建立协同保障机制，</w:t>
      </w:r>
      <w:r>
        <w:rPr>
          <w:rFonts w:hint="eastAsia" w:hAnsi="仿宋" w:cs="Times New Roman"/>
          <w:sz w:val="32"/>
          <w:szCs w:val="32"/>
        </w:rPr>
        <w:t>区</w:t>
      </w:r>
      <w:r>
        <w:rPr>
          <w:rFonts w:hAnsi="仿宋" w:cs="Times New Roman"/>
          <w:sz w:val="32"/>
          <w:szCs w:val="32"/>
        </w:rPr>
        <w:t>级应急管理部门统筹全</w:t>
      </w:r>
      <w:r>
        <w:rPr>
          <w:rFonts w:hint="eastAsia" w:hAnsi="仿宋" w:cs="Times New Roman"/>
          <w:sz w:val="32"/>
          <w:szCs w:val="32"/>
        </w:rPr>
        <w:t>区</w:t>
      </w:r>
      <w:r>
        <w:rPr>
          <w:rFonts w:hAnsi="仿宋" w:cs="Times New Roman"/>
          <w:sz w:val="32"/>
          <w:szCs w:val="32"/>
        </w:rPr>
        <w:t>应急物资的调配调用，向有关</w:t>
      </w:r>
      <w:r>
        <w:rPr>
          <w:rFonts w:hint="eastAsia" w:hAnsi="仿宋" w:cs="Times New Roman"/>
          <w:sz w:val="32"/>
          <w:szCs w:val="32"/>
        </w:rPr>
        <w:t>镇街（经开区）</w:t>
      </w:r>
      <w:r>
        <w:rPr>
          <w:rFonts w:hAnsi="仿宋" w:cs="Times New Roman"/>
          <w:sz w:val="32"/>
          <w:szCs w:val="32"/>
        </w:rPr>
        <w:t>和</w:t>
      </w:r>
      <w:r>
        <w:rPr>
          <w:rFonts w:hint="eastAsia" w:hAnsi="仿宋" w:cs="Times New Roman"/>
          <w:sz w:val="32"/>
          <w:szCs w:val="32"/>
        </w:rPr>
        <w:t>区直</w:t>
      </w:r>
      <w:r>
        <w:rPr>
          <w:rFonts w:hAnsi="仿宋" w:cs="Times New Roman"/>
          <w:sz w:val="32"/>
          <w:szCs w:val="32"/>
        </w:rPr>
        <w:t>有关部门发出调拨指令，各级各有关部门（单位）要严格执行调拨指令，负责组织实施应急物资调运等工作，并及时报告应急物资调运情况。</w:t>
      </w:r>
    </w:p>
    <w:p>
      <w:pPr>
        <w:pStyle w:val="3"/>
        <w:spacing w:before="0" w:after="0" w:line="560" w:lineRule="exact"/>
        <w:ind w:firstLine="640"/>
        <w:rPr>
          <w:rFonts w:ascii="楷体" w:hAnsi="楷体" w:eastAsia="楷体" w:cs="Times New Roman"/>
          <w:b w:val="0"/>
        </w:rPr>
      </w:pPr>
      <w:bookmarkStart w:id="3" w:name="_Toc13238"/>
      <w:r>
        <w:rPr>
          <w:rFonts w:ascii="楷体" w:hAnsi="楷体" w:eastAsia="楷体" w:cs="Times New Roman"/>
          <w:b w:val="0"/>
        </w:rPr>
        <w:t>（二）优化提升仓储设施建设布局</w:t>
      </w:r>
      <w:bookmarkEnd w:id="3"/>
    </w:p>
    <w:p>
      <w:pPr>
        <w:spacing w:line="560" w:lineRule="exact"/>
        <w:ind w:firstLine="640"/>
        <w:outlineLvl w:val="2"/>
        <w:rPr>
          <w:rFonts w:hAnsi="仿宋" w:cs="Times New Roman"/>
          <w:sz w:val="32"/>
          <w:szCs w:val="32"/>
        </w:rPr>
      </w:pPr>
      <w:r>
        <w:rPr>
          <w:rFonts w:hAnsi="仿宋" w:cs="Times New Roman"/>
          <w:sz w:val="32"/>
          <w:szCs w:val="32"/>
        </w:rPr>
        <w:t>1.提升</w:t>
      </w:r>
      <w:r>
        <w:rPr>
          <w:rFonts w:hint="eastAsia" w:hAnsi="仿宋" w:cs="Times New Roman"/>
          <w:sz w:val="32"/>
          <w:szCs w:val="32"/>
        </w:rPr>
        <w:t>区</w:t>
      </w:r>
      <w:r>
        <w:rPr>
          <w:rFonts w:hAnsi="仿宋" w:cs="Times New Roman"/>
          <w:sz w:val="32"/>
          <w:szCs w:val="32"/>
        </w:rPr>
        <w:t>级仓储布局。</w:t>
      </w:r>
      <w:r>
        <w:rPr>
          <w:rFonts w:hint="eastAsia" w:hAnsi="仿宋" w:cs="Times New Roman"/>
          <w:sz w:val="32"/>
          <w:szCs w:val="32"/>
        </w:rPr>
        <w:t>按照 “县级建成仓储面积不低于2</w:t>
      </w:r>
      <w:r>
        <w:rPr>
          <w:rFonts w:hAnsi="仿宋" w:cs="Times New Roman"/>
          <w:sz w:val="32"/>
          <w:szCs w:val="32"/>
        </w:rPr>
        <w:t>000</w:t>
      </w:r>
      <w:r>
        <w:rPr>
          <w:rFonts w:hint="eastAsia" w:hAnsi="仿宋" w:cs="Times New Roman"/>
          <w:sz w:val="32"/>
          <w:szCs w:val="32"/>
        </w:rPr>
        <w:t>平方米的综合应急物资仓库”的目标要求，目前我区已达到要求。兰山商城管委会</w:t>
      </w:r>
      <w:r>
        <w:rPr>
          <w:rFonts w:hAnsi="仿宋" w:cs="Times New Roman"/>
          <w:sz w:val="32"/>
          <w:szCs w:val="32"/>
        </w:rPr>
        <w:t>依托我</w:t>
      </w:r>
      <w:r>
        <w:rPr>
          <w:rFonts w:hint="eastAsia" w:hAnsi="仿宋" w:cs="Times New Roman"/>
          <w:sz w:val="32"/>
          <w:szCs w:val="32"/>
        </w:rPr>
        <w:t>区</w:t>
      </w:r>
      <w:r>
        <w:rPr>
          <w:rFonts w:hAnsi="仿宋" w:cs="Times New Roman"/>
          <w:sz w:val="32"/>
          <w:szCs w:val="32"/>
        </w:rPr>
        <w:t>商贸物流优势，加快推进应急物资智慧仓储物流园建设，提升社会化应急物资仓储水平。</w:t>
      </w:r>
    </w:p>
    <w:p>
      <w:pPr>
        <w:spacing w:line="560" w:lineRule="exact"/>
        <w:ind w:firstLine="640"/>
        <w:outlineLvl w:val="2"/>
        <w:rPr>
          <w:rFonts w:hAnsi="仿宋" w:cs="Times New Roman"/>
          <w:sz w:val="32"/>
          <w:szCs w:val="32"/>
        </w:rPr>
      </w:pPr>
      <w:r>
        <w:rPr>
          <w:rFonts w:hint="eastAsia" w:hAnsi="仿宋" w:cs="Times New Roman"/>
          <w:sz w:val="32"/>
          <w:szCs w:val="32"/>
        </w:rPr>
        <w:t>2</w:t>
      </w:r>
      <w:r>
        <w:rPr>
          <w:rFonts w:hAnsi="仿宋" w:cs="Times New Roman"/>
          <w:sz w:val="32"/>
          <w:szCs w:val="32"/>
        </w:rPr>
        <w:t>.完善防汛抗旱类应急物资仓库布局。</w:t>
      </w:r>
      <w:r>
        <w:rPr>
          <w:rFonts w:hint="eastAsia" w:hAnsi="仿宋" w:cs="Times New Roman"/>
          <w:sz w:val="32"/>
          <w:szCs w:val="32"/>
        </w:rPr>
        <w:t>新建兰山区应急物资仓库</w:t>
      </w:r>
      <w:r>
        <w:rPr>
          <w:rFonts w:hAnsi="仿宋" w:cs="Times New Roman"/>
          <w:sz w:val="32"/>
          <w:szCs w:val="32"/>
        </w:rPr>
        <w:t>，统筹水</w:t>
      </w:r>
      <w:r>
        <w:rPr>
          <w:rFonts w:hint="eastAsia" w:hAnsi="仿宋" w:cs="Times New Roman"/>
          <w:sz w:val="32"/>
          <w:szCs w:val="32"/>
        </w:rPr>
        <w:t>务</w:t>
      </w:r>
      <w:r>
        <w:rPr>
          <w:rFonts w:hAnsi="仿宋" w:cs="Times New Roman"/>
          <w:sz w:val="32"/>
          <w:szCs w:val="32"/>
        </w:rPr>
        <w:t>、</w:t>
      </w:r>
      <w:r>
        <w:rPr>
          <w:rFonts w:hint="eastAsia" w:hAnsi="仿宋" w:cs="Times New Roman"/>
          <w:sz w:val="32"/>
          <w:szCs w:val="32"/>
        </w:rPr>
        <w:t>住建、综合行政执法</w:t>
      </w:r>
      <w:r>
        <w:rPr>
          <w:rFonts w:hAnsi="仿宋" w:cs="Times New Roman"/>
          <w:sz w:val="32"/>
          <w:szCs w:val="32"/>
        </w:rPr>
        <w:t>等部门分散的仓储设施，优化储备布局，满足仓储需求。</w:t>
      </w:r>
    </w:p>
    <w:p>
      <w:pPr>
        <w:spacing w:line="560" w:lineRule="exact"/>
        <w:ind w:firstLine="640"/>
        <w:outlineLvl w:val="2"/>
        <w:rPr>
          <w:rFonts w:hAnsi="仿宋" w:cs="Times New Roman"/>
          <w:sz w:val="32"/>
          <w:szCs w:val="32"/>
        </w:rPr>
      </w:pPr>
      <w:r>
        <w:rPr>
          <w:rFonts w:hint="eastAsia" w:hAnsi="仿宋" w:cs="Times New Roman"/>
          <w:sz w:val="32"/>
          <w:szCs w:val="32"/>
        </w:rPr>
        <w:t>3</w:t>
      </w:r>
      <w:r>
        <w:rPr>
          <w:rFonts w:hAnsi="仿宋" w:cs="Times New Roman"/>
          <w:sz w:val="32"/>
          <w:szCs w:val="32"/>
        </w:rPr>
        <w:t>.</w:t>
      </w:r>
      <w:r>
        <w:rPr>
          <w:rFonts w:hint="eastAsia" w:hAnsi="仿宋" w:cs="Times New Roman"/>
          <w:sz w:val="32"/>
          <w:szCs w:val="32"/>
        </w:rPr>
        <w:t>扩大</w:t>
      </w:r>
      <w:r>
        <w:rPr>
          <w:rFonts w:hAnsi="仿宋" w:cs="Times New Roman"/>
          <w:sz w:val="32"/>
          <w:szCs w:val="32"/>
        </w:rPr>
        <w:t>森林防灭火队伍装备仓储布局。</w:t>
      </w:r>
      <w:r>
        <w:rPr>
          <w:rFonts w:hint="eastAsia" w:hAnsi="仿宋" w:cs="Times New Roman"/>
          <w:sz w:val="32"/>
          <w:szCs w:val="32"/>
        </w:rPr>
        <w:t>结合兰山区实际情况，利用新建的兰山区应急物资仓库，储存区级扑火队伍防灭火装备仓库。</w:t>
      </w:r>
    </w:p>
    <w:p>
      <w:pPr>
        <w:pStyle w:val="3"/>
        <w:spacing w:before="0" w:after="0" w:line="560" w:lineRule="exact"/>
        <w:ind w:firstLine="640"/>
        <w:rPr>
          <w:rFonts w:ascii="楷体" w:hAnsi="楷体" w:eastAsia="楷体" w:cs="Times New Roman"/>
          <w:b w:val="0"/>
        </w:rPr>
      </w:pPr>
      <w:bookmarkStart w:id="4" w:name="_Toc11422"/>
      <w:r>
        <w:rPr>
          <w:rFonts w:hint="eastAsia" w:ascii="楷体" w:hAnsi="楷体" w:eastAsia="楷体" w:cs="Times New Roman"/>
          <w:b w:val="0"/>
        </w:rPr>
        <w:t>（三）加强生活保障应急物资储备</w:t>
      </w:r>
      <w:bookmarkEnd w:id="4"/>
    </w:p>
    <w:p>
      <w:pPr>
        <w:widowControl/>
        <w:spacing w:line="560" w:lineRule="exact"/>
        <w:ind w:firstLine="640"/>
        <w:textAlignment w:val="center"/>
        <w:rPr>
          <w:rFonts w:hAnsi="仿宋" w:cs="仿宋"/>
          <w:sz w:val="32"/>
          <w:szCs w:val="32"/>
        </w:rPr>
      </w:pPr>
      <w:r>
        <w:rPr>
          <w:rFonts w:hint="eastAsia" w:hAnsi="仿宋" w:cs="仿宋"/>
          <w:sz w:val="32"/>
          <w:szCs w:val="32"/>
        </w:rPr>
        <w:t>根据省规划，区级储备</w:t>
      </w:r>
      <w:r>
        <w:rPr>
          <w:rFonts w:hint="eastAsia" w:hAnsi="仿宋" w:cs="仿宋"/>
          <w:color w:val="000000" w:themeColor="text1"/>
          <w:sz w:val="32"/>
          <w:szCs w:val="32"/>
        </w:rPr>
        <w:t>0.5-0.7万紧急集中转移安置人口的物资</w:t>
      </w:r>
      <w:r>
        <w:rPr>
          <w:rFonts w:hint="eastAsia" w:hAnsi="仿宋" w:cs="仿宋"/>
          <w:sz w:val="32"/>
          <w:szCs w:val="32"/>
        </w:rPr>
        <w:t>，计划到2025年，区级储备达到保障0.5万集中转移安置人口15天基本生活的规模；到2030年，达到保障0.7万集中转移安置人口30天基本生活的规模。</w:t>
      </w:r>
    </w:p>
    <w:p>
      <w:pPr>
        <w:spacing w:line="560" w:lineRule="exact"/>
        <w:ind w:firstLine="640"/>
        <w:rPr>
          <w:rFonts w:hAnsi="仿宋" w:cs="仿宋"/>
          <w:sz w:val="32"/>
          <w:szCs w:val="32"/>
        </w:rPr>
      </w:pPr>
      <w:r>
        <w:rPr>
          <w:rFonts w:hint="eastAsia" w:hAnsi="仿宋" w:cs="仿宋"/>
          <w:sz w:val="32"/>
          <w:szCs w:val="32"/>
        </w:rPr>
        <w:t>1.强化政府实物储备。至2025年，区级政府实物储备达到保障0.5万集中转移安置人口7天基本生活的规模；至2030年，区级政府实物储备达到保障0.7万集中转移安置人口10天基本生活的规模。自2022年起，逐年加大政府实物储备规模。</w:t>
      </w:r>
    </w:p>
    <w:p>
      <w:pPr>
        <w:spacing w:line="560" w:lineRule="exact"/>
        <w:ind w:firstLine="640"/>
        <w:outlineLvl w:val="2"/>
        <w:rPr>
          <w:rFonts w:hAnsi="仿宋" w:cs="仿宋"/>
          <w:sz w:val="32"/>
          <w:szCs w:val="32"/>
        </w:rPr>
      </w:pPr>
      <w:r>
        <w:rPr>
          <w:rFonts w:hint="eastAsia" w:hAnsi="仿宋" w:cs="仿宋"/>
          <w:sz w:val="32"/>
          <w:szCs w:val="32"/>
        </w:rPr>
        <w:t>2.扩大企业（商业）和产能储备。对于难以长期储存或市场供应充足、企业能够快速生产的品类，主要实行企业（商业）储备和产能储备。到2025年，区级企业（商业）储备和产能储备分别达到保障0.5万紧急集中转移安置人口4天基本生活的规模；到2030年，区级企业（商业）储备和产能储备分别达到保障0.7万紧急集中转移安置人口10天基本生活的规模；各职能部门应选择实力强、信誉好的企业作为承储企业，每年年初组织对企业（商业）和产能储备合同进行修订完善。</w:t>
      </w:r>
    </w:p>
    <w:p>
      <w:pPr>
        <w:spacing w:line="560" w:lineRule="exact"/>
        <w:ind w:firstLine="640"/>
        <w:outlineLvl w:val="2"/>
        <w:rPr>
          <w:rFonts w:hAnsi="仿宋" w:cs="仿宋"/>
          <w:sz w:val="32"/>
          <w:szCs w:val="32"/>
        </w:rPr>
      </w:pPr>
      <w:r>
        <w:rPr>
          <w:rFonts w:hint="eastAsia" w:hAnsi="仿宋" w:cs="仿宋"/>
          <w:sz w:val="32"/>
          <w:szCs w:val="32"/>
        </w:rPr>
        <w:t>3.加强其他战略物资储备。对肉类、食盐、食糖、粮油等战略储备物资，由相关职能部门根据国家要求储备。</w:t>
      </w:r>
    </w:p>
    <w:p>
      <w:pPr>
        <w:pStyle w:val="3"/>
        <w:spacing w:before="0" w:after="0" w:line="560" w:lineRule="exact"/>
        <w:ind w:firstLine="640"/>
        <w:rPr>
          <w:rFonts w:ascii="楷体" w:hAnsi="楷体" w:eastAsia="楷体" w:cs="Times New Roman"/>
          <w:b w:val="0"/>
        </w:rPr>
      </w:pPr>
      <w:bookmarkStart w:id="5" w:name="_Toc26154"/>
      <w:r>
        <w:rPr>
          <w:rFonts w:ascii="楷体" w:hAnsi="楷体" w:eastAsia="楷体" w:cs="Times New Roman"/>
          <w:b w:val="0"/>
        </w:rPr>
        <w:t>（四）加强公共卫生事件应急物资储备</w:t>
      </w:r>
      <w:bookmarkEnd w:id="5"/>
    </w:p>
    <w:p>
      <w:pPr>
        <w:spacing w:line="560" w:lineRule="exact"/>
        <w:ind w:firstLine="640"/>
        <w:outlineLvl w:val="2"/>
        <w:rPr>
          <w:rFonts w:hAnsi="仿宋" w:cs="Times New Roman"/>
          <w:color w:val="000000" w:themeColor="text1"/>
          <w:sz w:val="32"/>
          <w:szCs w:val="32"/>
        </w:rPr>
      </w:pPr>
      <w:r>
        <w:rPr>
          <w:rFonts w:hAnsi="仿宋" w:cs="Times New Roman"/>
          <w:sz w:val="32"/>
          <w:szCs w:val="32"/>
        </w:rPr>
        <w:t>1.科学确定储备品种和规模。</w:t>
      </w:r>
      <w:r>
        <w:rPr>
          <w:rFonts w:hint="eastAsia" w:hAnsi="仿宋" w:cs="Times New Roman"/>
          <w:sz w:val="32"/>
          <w:szCs w:val="32"/>
        </w:rPr>
        <w:t>参照省规划,结合我区实际,</w:t>
      </w:r>
      <w:r>
        <w:rPr>
          <w:rFonts w:hAnsi="仿宋" w:cs="Times New Roman"/>
          <w:sz w:val="32"/>
          <w:szCs w:val="32"/>
        </w:rPr>
        <w:t>按照突发公共卫生事件日均医用物资消耗上限不少于</w:t>
      </w:r>
      <w:r>
        <w:rPr>
          <w:rFonts w:hint="eastAsia" w:hAnsi="仿宋" w:cs="Times New Roman"/>
          <w:sz w:val="32"/>
          <w:szCs w:val="32"/>
        </w:rPr>
        <w:t>1</w:t>
      </w:r>
      <w:r>
        <w:rPr>
          <w:rFonts w:hAnsi="仿宋" w:cs="Times New Roman"/>
          <w:sz w:val="32"/>
          <w:szCs w:val="32"/>
        </w:rPr>
        <w:t>个月的用量，重点储备人员安全防护、紧急医疗救护等应急物资</w:t>
      </w:r>
      <w:r>
        <w:rPr>
          <w:rFonts w:hAnsi="仿宋" w:cs="Times New Roman"/>
          <w:color w:val="000000" w:themeColor="text1"/>
          <w:sz w:val="32"/>
          <w:szCs w:val="32"/>
        </w:rPr>
        <w:t>。到2025年，突发公共卫生事件类（Ⅰ类）应急物资</w:t>
      </w:r>
      <w:r>
        <w:rPr>
          <w:rFonts w:hint="eastAsia" w:hAnsi="仿宋" w:cs="Times New Roman"/>
          <w:color w:val="000000" w:themeColor="text1"/>
          <w:sz w:val="32"/>
          <w:szCs w:val="32"/>
        </w:rPr>
        <w:t>区</w:t>
      </w:r>
      <w:r>
        <w:rPr>
          <w:rFonts w:hAnsi="仿宋" w:cs="Times New Roman"/>
          <w:color w:val="000000" w:themeColor="text1"/>
          <w:sz w:val="32"/>
          <w:szCs w:val="32"/>
        </w:rPr>
        <w:t>级政府储备达到保障</w:t>
      </w:r>
      <w:r>
        <w:rPr>
          <w:rFonts w:hint="eastAsia" w:hAnsi="仿宋" w:cs="Times New Roman"/>
          <w:color w:val="000000" w:themeColor="text1"/>
          <w:sz w:val="32"/>
          <w:szCs w:val="32"/>
        </w:rPr>
        <w:t>1</w:t>
      </w:r>
      <w:r>
        <w:rPr>
          <w:rFonts w:hAnsi="仿宋" w:cs="Times New Roman"/>
          <w:color w:val="000000" w:themeColor="text1"/>
          <w:sz w:val="32"/>
          <w:szCs w:val="32"/>
        </w:rPr>
        <w:t>000人1个月、企业（商业）储备</w:t>
      </w:r>
      <w:r>
        <w:rPr>
          <w:rFonts w:hint="eastAsia" w:hAnsi="仿宋" w:cs="Times New Roman"/>
          <w:color w:val="000000" w:themeColor="text1"/>
          <w:sz w:val="32"/>
          <w:szCs w:val="32"/>
        </w:rPr>
        <w:t>1</w:t>
      </w:r>
      <w:r>
        <w:rPr>
          <w:rFonts w:hAnsi="仿宋" w:cs="Times New Roman"/>
          <w:color w:val="000000" w:themeColor="text1"/>
          <w:sz w:val="32"/>
          <w:szCs w:val="32"/>
        </w:rPr>
        <w:t>000人10天、产能储备</w:t>
      </w:r>
      <w:r>
        <w:rPr>
          <w:rFonts w:hint="eastAsia" w:hAnsi="仿宋" w:cs="Times New Roman"/>
          <w:color w:val="000000" w:themeColor="text1"/>
          <w:sz w:val="32"/>
          <w:szCs w:val="32"/>
        </w:rPr>
        <w:t>1</w:t>
      </w:r>
      <w:r>
        <w:rPr>
          <w:rFonts w:hAnsi="仿宋" w:cs="Times New Roman"/>
          <w:color w:val="000000" w:themeColor="text1"/>
          <w:sz w:val="32"/>
          <w:szCs w:val="32"/>
        </w:rPr>
        <w:t>000人1个月的医疗防护规模；突发紧急医学救援类（Ⅱ类）应急物资</w:t>
      </w:r>
      <w:r>
        <w:rPr>
          <w:rFonts w:hint="eastAsia" w:hAnsi="仿宋" w:cs="Times New Roman"/>
          <w:color w:val="000000" w:themeColor="text1"/>
          <w:sz w:val="32"/>
          <w:szCs w:val="32"/>
        </w:rPr>
        <w:t>区</w:t>
      </w:r>
      <w:r>
        <w:rPr>
          <w:rFonts w:hAnsi="仿宋" w:cs="Times New Roman"/>
          <w:color w:val="000000" w:themeColor="text1"/>
          <w:sz w:val="32"/>
          <w:szCs w:val="32"/>
        </w:rPr>
        <w:t>级政府储备达到保障</w:t>
      </w:r>
      <w:r>
        <w:rPr>
          <w:rFonts w:hint="eastAsia" w:hAnsi="仿宋" w:cs="Times New Roman"/>
          <w:color w:val="000000" w:themeColor="text1"/>
          <w:sz w:val="32"/>
          <w:szCs w:val="32"/>
        </w:rPr>
        <w:t>17</w:t>
      </w:r>
      <w:r>
        <w:rPr>
          <w:rFonts w:hAnsi="仿宋" w:cs="Times New Roman"/>
          <w:color w:val="000000" w:themeColor="text1"/>
          <w:sz w:val="32"/>
          <w:szCs w:val="32"/>
        </w:rPr>
        <w:t>00人7天、企业（商业）储备</w:t>
      </w:r>
      <w:r>
        <w:rPr>
          <w:rFonts w:hint="eastAsia" w:hAnsi="仿宋" w:cs="Times New Roman"/>
          <w:color w:val="000000" w:themeColor="text1"/>
          <w:sz w:val="32"/>
          <w:szCs w:val="32"/>
        </w:rPr>
        <w:t>17</w:t>
      </w:r>
      <w:r>
        <w:rPr>
          <w:rFonts w:hAnsi="仿宋" w:cs="Times New Roman"/>
          <w:color w:val="000000" w:themeColor="text1"/>
          <w:sz w:val="32"/>
          <w:szCs w:val="32"/>
        </w:rPr>
        <w:t>00人5天、产能储备</w:t>
      </w:r>
      <w:r>
        <w:rPr>
          <w:rFonts w:hint="eastAsia" w:hAnsi="仿宋" w:cs="Times New Roman"/>
          <w:color w:val="000000" w:themeColor="text1"/>
          <w:sz w:val="32"/>
          <w:szCs w:val="32"/>
        </w:rPr>
        <w:t>17</w:t>
      </w:r>
      <w:r>
        <w:rPr>
          <w:rFonts w:hAnsi="仿宋" w:cs="Times New Roman"/>
          <w:color w:val="000000" w:themeColor="text1"/>
          <w:sz w:val="32"/>
          <w:szCs w:val="32"/>
        </w:rPr>
        <w:t>00人3天的紧急医学救援规模。</w:t>
      </w:r>
    </w:p>
    <w:p>
      <w:pPr>
        <w:spacing w:line="560" w:lineRule="exact"/>
        <w:ind w:firstLine="640"/>
        <w:outlineLvl w:val="2"/>
        <w:rPr>
          <w:rFonts w:hAnsi="仿宋" w:cs="Times New Roman"/>
          <w:color w:val="000000" w:themeColor="text1"/>
          <w:sz w:val="32"/>
          <w:szCs w:val="32"/>
        </w:rPr>
      </w:pPr>
      <w:r>
        <w:rPr>
          <w:rFonts w:hAnsi="仿宋" w:cs="Times New Roman"/>
          <w:color w:val="000000" w:themeColor="text1"/>
          <w:sz w:val="32"/>
          <w:szCs w:val="32"/>
        </w:rPr>
        <w:t>到2030年，突发公共卫生事件类（Ⅰ类）应急物资政府储备达到保障</w:t>
      </w:r>
      <w:r>
        <w:rPr>
          <w:rFonts w:hint="eastAsia" w:hAnsi="仿宋" w:cs="Times New Roman"/>
          <w:color w:val="000000" w:themeColor="text1"/>
          <w:sz w:val="32"/>
          <w:szCs w:val="32"/>
        </w:rPr>
        <w:t>17</w:t>
      </w:r>
      <w:r>
        <w:rPr>
          <w:rFonts w:hAnsi="仿宋" w:cs="Times New Roman"/>
          <w:color w:val="000000" w:themeColor="text1"/>
          <w:sz w:val="32"/>
          <w:szCs w:val="32"/>
        </w:rPr>
        <w:t>00人1个月、企业（商业）储备</w:t>
      </w:r>
      <w:r>
        <w:rPr>
          <w:rFonts w:hint="eastAsia" w:hAnsi="仿宋" w:cs="Times New Roman"/>
          <w:color w:val="000000" w:themeColor="text1"/>
          <w:sz w:val="32"/>
          <w:szCs w:val="32"/>
        </w:rPr>
        <w:t>17</w:t>
      </w:r>
      <w:r>
        <w:rPr>
          <w:rFonts w:hAnsi="仿宋" w:cs="Times New Roman"/>
          <w:color w:val="000000" w:themeColor="text1"/>
          <w:sz w:val="32"/>
          <w:szCs w:val="32"/>
        </w:rPr>
        <w:t>00人10天、产能储备</w:t>
      </w:r>
      <w:r>
        <w:rPr>
          <w:rFonts w:hint="eastAsia" w:hAnsi="仿宋" w:cs="Times New Roman"/>
          <w:color w:val="000000" w:themeColor="text1"/>
          <w:sz w:val="32"/>
          <w:szCs w:val="32"/>
        </w:rPr>
        <w:t>17</w:t>
      </w:r>
      <w:r>
        <w:rPr>
          <w:rFonts w:hAnsi="仿宋" w:cs="Times New Roman"/>
          <w:color w:val="000000" w:themeColor="text1"/>
          <w:sz w:val="32"/>
          <w:szCs w:val="32"/>
        </w:rPr>
        <w:t>00人1个月的医疗防护规模；突发紧急医学救援类（Ⅱ类）应急物资</w:t>
      </w:r>
      <w:r>
        <w:rPr>
          <w:rFonts w:hint="eastAsia" w:hAnsi="仿宋" w:cs="Times New Roman"/>
          <w:color w:val="000000" w:themeColor="text1"/>
          <w:sz w:val="32"/>
          <w:szCs w:val="32"/>
        </w:rPr>
        <w:t>区</w:t>
      </w:r>
      <w:r>
        <w:rPr>
          <w:rFonts w:hAnsi="仿宋" w:cs="Times New Roman"/>
          <w:color w:val="000000" w:themeColor="text1"/>
          <w:sz w:val="32"/>
          <w:szCs w:val="32"/>
        </w:rPr>
        <w:t>级政府储备、企业（商业）储备和产能储备分别达到保障</w:t>
      </w:r>
      <w:r>
        <w:rPr>
          <w:rFonts w:hint="eastAsia" w:hAnsi="仿宋" w:cs="Times New Roman"/>
          <w:color w:val="000000" w:themeColor="text1"/>
          <w:sz w:val="32"/>
          <w:szCs w:val="32"/>
        </w:rPr>
        <w:t>35</w:t>
      </w:r>
      <w:r>
        <w:rPr>
          <w:rFonts w:hAnsi="仿宋" w:cs="Times New Roman"/>
          <w:color w:val="000000" w:themeColor="text1"/>
          <w:sz w:val="32"/>
          <w:szCs w:val="32"/>
        </w:rPr>
        <w:t>00人7天的紧急医学救援规模。</w:t>
      </w:r>
    </w:p>
    <w:p>
      <w:pPr>
        <w:spacing w:line="560" w:lineRule="exact"/>
        <w:ind w:firstLine="640"/>
        <w:outlineLvl w:val="2"/>
        <w:rPr>
          <w:rFonts w:hAnsi="仿宋" w:cs="Times New Roman"/>
          <w:sz w:val="32"/>
          <w:szCs w:val="32"/>
        </w:rPr>
      </w:pPr>
      <w:r>
        <w:rPr>
          <w:rFonts w:hAnsi="仿宋" w:cs="Times New Roman"/>
          <w:sz w:val="32"/>
          <w:szCs w:val="32"/>
        </w:rPr>
        <w:t>2.做好特殊医疗物资储备。依托重点医院和疾控中心，加强疫病监测、卫生防疫、院前急救、药品疫苗、血液等特殊应急物资储备，提升快速检测、疫病防控和紧急医疗救治水平。</w:t>
      </w:r>
    </w:p>
    <w:p>
      <w:pPr>
        <w:spacing w:line="560" w:lineRule="exact"/>
        <w:ind w:firstLine="640"/>
        <w:outlineLvl w:val="2"/>
        <w:rPr>
          <w:rFonts w:hAnsi="仿宋" w:cs="Times New Roman"/>
          <w:sz w:val="32"/>
          <w:szCs w:val="32"/>
        </w:rPr>
      </w:pPr>
      <w:r>
        <w:rPr>
          <w:rFonts w:hAnsi="仿宋" w:cs="Times New Roman"/>
          <w:sz w:val="32"/>
          <w:szCs w:val="32"/>
        </w:rPr>
        <w:t>3.加强企业（商业）和产能储备。依托大型医药企业和医药物流企业，建立医疗卫生应急物资企业（商业）储备制度。立足我</w:t>
      </w:r>
      <w:r>
        <w:rPr>
          <w:rFonts w:hint="eastAsia" w:hAnsi="仿宋" w:cs="Times New Roman"/>
          <w:sz w:val="32"/>
          <w:szCs w:val="32"/>
        </w:rPr>
        <w:t>区</w:t>
      </w:r>
      <w:r>
        <w:rPr>
          <w:rFonts w:hAnsi="仿宋" w:cs="Times New Roman"/>
          <w:sz w:val="32"/>
          <w:szCs w:val="32"/>
        </w:rPr>
        <w:t>产业实际，支持应急征用企业为保障生产医疗卫生物资，实施稳产、扩产、转产等技术改造。支持相关科研机构及企业研发疫苗、药品、试剂、医疗器械，支持中医药有效治疗技术和药物研发，加快公共卫生领域科技成果转化。</w:t>
      </w:r>
    </w:p>
    <w:p>
      <w:pPr>
        <w:spacing w:line="560" w:lineRule="exact"/>
        <w:ind w:firstLine="640"/>
        <w:outlineLvl w:val="2"/>
        <w:rPr>
          <w:rFonts w:hAnsi="仿宋" w:cs="Times New Roman"/>
          <w:color w:val="000000" w:themeColor="text1"/>
          <w:sz w:val="32"/>
          <w:szCs w:val="32"/>
        </w:rPr>
      </w:pPr>
      <w:r>
        <w:rPr>
          <w:rFonts w:hAnsi="仿宋" w:cs="Times New Roman"/>
          <w:sz w:val="32"/>
          <w:szCs w:val="32"/>
        </w:rPr>
        <w:t>4.建立联动储备轮换机制。</w:t>
      </w:r>
      <w:r>
        <w:rPr>
          <w:rFonts w:hAnsi="仿宋" w:cs="Times New Roman"/>
          <w:color w:val="000000" w:themeColor="text1"/>
          <w:sz w:val="32"/>
          <w:szCs w:val="32"/>
        </w:rPr>
        <w:t>应急物资储备单位对存放周期短、耗资大的部分物资，按照“总量稳定、用旧储新、等量补充、动态轮换”的原则，实现公共卫生事件应急物资储备良性循环，最大限度发挥储备物资效能。</w:t>
      </w:r>
    </w:p>
    <w:p>
      <w:pPr>
        <w:pStyle w:val="3"/>
        <w:spacing w:before="0" w:after="0" w:line="560" w:lineRule="exact"/>
        <w:ind w:firstLine="640"/>
        <w:rPr>
          <w:rFonts w:ascii="楷体" w:hAnsi="楷体" w:eastAsia="楷体" w:cs="Times New Roman"/>
          <w:b w:val="0"/>
        </w:rPr>
      </w:pPr>
      <w:bookmarkStart w:id="6" w:name="_Toc9706"/>
      <w:r>
        <w:rPr>
          <w:rFonts w:ascii="楷体" w:hAnsi="楷体" w:eastAsia="楷体" w:cs="Times New Roman"/>
          <w:b w:val="0"/>
        </w:rPr>
        <w:t>（五）强化综合性消防救</w:t>
      </w:r>
      <w:bookmarkEnd w:id="6"/>
      <w:r>
        <w:rPr>
          <w:rFonts w:ascii="楷体" w:hAnsi="楷体" w:eastAsia="楷体" w:cs="Times New Roman"/>
          <w:b w:val="0"/>
        </w:rPr>
        <w:t>援装备应急物资储备</w:t>
      </w:r>
    </w:p>
    <w:p>
      <w:pPr>
        <w:spacing w:line="560" w:lineRule="exact"/>
        <w:ind w:firstLine="640"/>
        <w:outlineLvl w:val="2"/>
        <w:rPr>
          <w:rFonts w:hAnsi="仿宋" w:cs="Times New Roman"/>
          <w:sz w:val="32"/>
          <w:szCs w:val="32"/>
        </w:rPr>
      </w:pPr>
      <w:r>
        <w:rPr>
          <w:rFonts w:hAnsi="仿宋" w:cs="Times New Roman"/>
          <w:sz w:val="32"/>
          <w:szCs w:val="32"/>
        </w:rPr>
        <w:t>综合消防与救援类应急物资以政府（实物）储备为主，采取专业队伍“库队合一”方式进行。依托综合消防救援专业队伍，重点储备现场管理与保障、生命救援与生活救助、工程抢险与专业处置类物资，主要包括位</w:t>
      </w:r>
      <w:r>
        <w:rPr>
          <w:rFonts w:hint="eastAsia" w:hAnsi="仿宋" w:cs="Times New Roman"/>
          <w:sz w:val="32"/>
          <w:szCs w:val="32"/>
        </w:rPr>
        <w:t>高性能消防救援车辆、</w:t>
      </w:r>
      <w:r>
        <w:rPr>
          <w:rFonts w:hAnsi="仿宋" w:cs="Times New Roman"/>
          <w:sz w:val="32"/>
          <w:szCs w:val="32"/>
        </w:rPr>
        <w:t>模块化运输车、器材装备模块箱、</w:t>
      </w:r>
      <w:r>
        <w:rPr>
          <w:rFonts w:hint="eastAsia" w:hAnsi="仿宋" w:cs="Times New Roman"/>
          <w:sz w:val="32"/>
          <w:szCs w:val="32"/>
        </w:rPr>
        <w:t>轻型前突车等特种车辆；卫星站、卫星通讯终端、位</w:t>
      </w:r>
      <w:r>
        <w:rPr>
          <w:rFonts w:hAnsi="仿宋" w:cs="Times New Roman"/>
          <w:sz w:val="32"/>
          <w:szCs w:val="32"/>
        </w:rPr>
        <w:t>移监测雷达、水下生命探测仪、声纳探测仪</w:t>
      </w:r>
      <w:r>
        <w:rPr>
          <w:rFonts w:hint="eastAsia" w:hAnsi="仿宋" w:cs="Times New Roman"/>
          <w:sz w:val="32"/>
          <w:szCs w:val="32"/>
        </w:rPr>
        <w:t>、红外成像仪、高温探测仪，有毒气体检测仪等侦检装备；防护服、防护头盔</w:t>
      </w:r>
      <w:r>
        <w:rPr>
          <w:rFonts w:hAnsi="仿宋" w:cs="Times New Roman"/>
          <w:sz w:val="32"/>
          <w:szCs w:val="32"/>
        </w:rPr>
        <w:t>防爆手持电台、正压式消防空气呼吸器、消防用救生衣</w:t>
      </w:r>
      <w:r>
        <w:rPr>
          <w:rFonts w:hint="eastAsia" w:hAnsi="仿宋" w:cs="Times New Roman"/>
          <w:sz w:val="32"/>
          <w:szCs w:val="32"/>
        </w:rPr>
        <w:t>等人员防护装备；水泵、水枪、水带、</w:t>
      </w:r>
      <w:r>
        <w:rPr>
          <w:rFonts w:hAnsi="仿宋" w:cs="Times New Roman"/>
          <w:sz w:val="32"/>
          <w:szCs w:val="32"/>
        </w:rPr>
        <w:t>大流量移动消防炮等装备类物资。强化综合救援特殊稀缺类装备器材配备，为专业队伍配备轻型全地形车、</w:t>
      </w:r>
      <w:r>
        <w:rPr>
          <w:rFonts w:hint="eastAsia" w:hAnsi="仿宋" w:cs="Times New Roman"/>
          <w:sz w:val="32"/>
          <w:szCs w:val="32"/>
        </w:rPr>
        <w:t>消防机器人</w:t>
      </w:r>
      <w:r>
        <w:rPr>
          <w:rFonts w:hAnsi="仿宋" w:cs="Times New Roman"/>
          <w:sz w:val="32"/>
          <w:szCs w:val="32"/>
        </w:rPr>
        <w:t>、化学事故侦检车、氮气灭火车等特殊装备器材。完善应急综合指挥装备器材配备</w:t>
      </w:r>
      <w:r>
        <w:rPr>
          <w:rFonts w:hint="eastAsia" w:hAnsi="仿宋" w:cs="Times New Roman"/>
          <w:sz w:val="32"/>
          <w:szCs w:val="32"/>
        </w:rPr>
        <w:t>，</w:t>
      </w:r>
      <w:r>
        <w:rPr>
          <w:rFonts w:hAnsi="仿宋" w:cs="Times New Roman"/>
          <w:sz w:val="32"/>
          <w:szCs w:val="32"/>
        </w:rPr>
        <w:t>依托</w:t>
      </w:r>
      <w:r>
        <w:rPr>
          <w:rFonts w:hint="eastAsia" w:hAnsi="仿宋" w:cs="Times New Roman"/>
          <w:sz w:val="32"/>
          <w:szCs w:val="32"/>
        </w:rPr>
        <w:t>区</w:t>
      </w:r>
      <w:r>
        <w:rPr>
          <w:rFonts w:hAnsi="仿宋" w:cs="Times New Roman"/>
          <w:sz w:val="32"/>
          <w:szCs w:val="32"/>
        </w:rPr>
        <w:t>应急指挥中心，根据实际需要配备应急指挥装备类物资。</w:t>
      </w:r>
    </w:p>
    <w:p>
      <w:pPr>
        <w:pStyle w:val="3"/>
        <w:spacing w:before="0" w:after="0" w:line="560" w:lineRule="exact"/>
        <w:ind w:firstLine="640"/>
        <w:rPr>
          <w:rFonts w:ascii="楷体" w:hAnsi="楷体" w:eastAsia="楷体" w:cs="Times New Roman"/>
          <w:b w:val="0"/>
        </w:rPr>
      </w:pPr>
      <w:bookmarkStart w:id="7" w:name="_Toc22004"/>
      <w:r>
        <w:rPr>
          <w:rFonts w:ascii="楷体" w:hAnsi="楷体" w:eastAsia="楷体" w:cs="Times New Roman"/>
          <w:b w:val="0"/>
        </w:rPr>
        <w:t>（六）加强森林防灭火应急物资储备</w:t>
      </w:r>
      <w:bookmarkEnd w:id="7"/>
    </w:p>
    <w:p>
      <w:pPr>
        <w:spacing w:line="560" w:lineRule="exact"/>
        <w:ind w:firstLine="640"/>
        <w:outlineLvl w:val="2"/>
        <w:rPr>
          <w:rFonts w:hAnsi="仿宋" w:cs="Times New Roman"/>
          <w:sz w:val="32"/>
          <w:szCs w:val="32"/>
        </w:rPr>
      </w:pPr>
      <w:r>
        <w:rPr>
          <w:rFonts w:hint="eastAsia" w:hAnsi="仿宋" w:cs="Times New Roman"/>
          <w:sz w:val="32"/>
          <w:szCs w:val="32"/>
        </w:rPr>
        <w:t>区</w:t>
      </w:r>
      <w:r>
        <w:rPr>
          <w:rFonts w:hAnsi="仿宋" w:cs="Times New Roman"/>
          <w:sz w:val="32"/>
          <w:szCs w:val="32"/>
        </w:rPr>
        <w:t>级森林防灭火类应急物资以政府（实物）储备为主。依托现有</w:t>
      </w:r>
      <w:r>
        <w:rPr>
          <w:rFonts w:hint="eastAsia" w:hAnsi="仿宋" w:cs="Times New Roman"/>
          <w:sz w:val="32"/>
          <w:szCs w:val="32"/>
        </w:rPr>
        <w:t>应急物资仓库</w:t>
      </w:r>
      <w:r>
        <w:rPr>
          <w:rFonts w:hAnsi="仿宋" w:cs="Times New Roman"/>
          <w:color w:val="000000" w:themeColor="text1"/>
          <w:sz w:val="32"/>
          <w:szCs w:val="32"/>
        </w:rPr>
        <w:t>，</w:t>
      </w:r>
      <w:r>
        <w:rPr>
          <w:rFonts w:hAnsi="仿宋" w:cs="Times New Roman"/>
          <w:sz w:val="32"/>
          <w:szCs w:val="32"/>
        </w:rPr>
        <w:t>重点储备工程抢险与专业处置类物资，包括火灾处置、消防防护、野外生产、无线通讯、专用车辆等品类，便携式灭火机、背负式风力灭火机、背负式机动高压灭火水枪、高扬程大功率移动水泵、串联水泵、森林消防风水化快速机动站、山地远程输水车、单兵作战防护装备、对讲机等装备类应急物资。为专业队伍配备大功能自动调压中继功能泵、山地远程输水车、阻燃剂、监测无人机等特殊稀缺类装备器材。</w:t>
      </w:r>
    </w:p>
    <w:p>
      <w:pPr>
        <w:pStyle w:val="3"/>
        <w:spacing w:before="0" w:after="0" w:line="560" w:lineRule="exact"/>
        <w:ind w:firstLine="640"/>
        <w:rPr>
          <w:rFonts w:ascii="楷体" w:hAnsi="楷体" w:eastAsia="楷体" w:cs="Times New Roman"/>
          <w:b w:val="0"/>
        </w:rPr>
      </w:pPr>
      <w:bookmarkStart w:id="8" w:name="_Toc6826"/>
      <w:r>
        <w:rPr>
          <w:rFonts w:ascii="楷体" w:hAnsi="楷体" w:eastAsia="楷体" w:cs="Times New Roman"/>
          <w:b w:val="0"/>
        </w:rPr>
        <w:t>（七）加强防汛抗旱应急物资储备</w:t>
      </w:r>
      <w:bookmarkEnd w:id="8"/>
    </w:p>
    <w:p>
      <w:pPr>
        <w:spacing w:line="560" w:lineRule="exact"/>
        <w:ind w:firstLine="640"/>
        <w:outlineLvl w:val="2"/>
        <w:rPr>
          <w:rFonts w:hAnsi="仿宋" w:cs="Times New Roman"/>
          <w:sz w:val="32"/>
          <w:szCs w:val="32"/>
        </w:rPr>
      </w:pPr>
      <w:r>
        <w:rPr>
          <w:rFonts w:hAnsi="仿宋" w:cs="Times New Roman"/>
          <w:sz w:val="32"/>
          <w:szCs w:val="32"/>
        </w:rPr>
        <w:t>洪涝灾害与抗旱类应急物资采取政府（实物）储备、企业（商业）储备和社会化储备相结合的方式，实行</w:t>
      </w:r>
      <w:r>
        <w:rPr>
          <w:rFonts w:hint="eastAsia" w:hAnsi="仿宋" w:cs="Times New Roman"/>
          <w:sz w:val="32"/>
          <w:szCs w:val="32"/>
        </w:rPr>
        <w:t>区、镇街</w:t>
      </w:r>
      <w:r>
        <w:rPr>
          <w:rFonts w:hAnsi="仿宋" w:cs="Times New Roman"/>
          <w:sz w:val="32"/>
          <w:szCs w:val="32"/>
        </w:rPr>
        <w:t>两级分级储备，重点储备工程抢险与专业处置类物资，包括自移动排水泵车、大流量移动泵站、多功能水下抢险勘察车、防汛抢险打桩机、水陆两栖挖掘机、抢险自卸车、水下爆破设备及潜孔钻、水下智能焊接、切割设备等。对基础性抢险救援类物资和设备，依托</w:t>
      </w:r>
      <w:r>
        <w:rPr>
          <w:rFonts w:hint="eastAsia" w:hAnsi="仿宋" w:cs="Times New Roman"/>
          <w:sz w:val="32"/>
          <w:szCs w:val="32"/>
        </w:rPr>
        <w:t>兰山区应急物资仓库</w:t>
      </w:r>
      <w:r>
        <w:rPr>
          <w:rFonts w:hAnsi="仿宋" w:cs="Times New Roman"/>
          <w:sz w:val="32"/>
          <w:szCs w:val="32"/>
        </w:rPr>
        <w:t>、各</w:t>
      </w:r>
      <w:r>
        <w:rPr>
          <w:rFonts w:hint="eastAsia" w:hAnsi="仿宋" w:cs="Times New Roman"/>
          <w:sz w:val="32"/>
          <w:szCs w:val="32"/>
        </w:rPr>
        <w:t>镇街</w:t>
      </w:r>
      <w:r>
        <w:rPr>
          <w:rFonts w:hAnsi="仿宋" w:cs="Times New Roman"/>
          <w:sz w:val="32"/>
          <w:szCs w:val="32"/>
        </w:rPr>
        <w:t>（</w:t>
      </w:r>
      <w:r>
        <w:rPr>
          <w:rFonts w:hint="eastAsia" w:hAnsi="仿宋" w:cs="Times New Roman"/>
          <w:sz w:val="32"/>
          <w:szCs w:val="32"/>
        </w:rPr>
        <w:t>经开区</w:t>
      </w:r>
      <w:r>
        <w:rPr>
          <w:rFonts w:hAnsi="仿宋" w:cs="Times New Roman"/>
          <w:sz w:val="32"/>
          <w:szCs w:val="32"/>
        </w:rPr>
        <w:t>）固定储备点和水库，以政府（实物）储备为主；对抢险施工设备、砂石料和块石等消耗类应急物资，主要采取企业（商业）和社会化储备。规划建设1-2支本级防汛抗旱（水旱灾害防御）专业队伍，配备水上救援机器人、大流量移动泵站、管涌探测仪等重要装备器材。</w:t>
      </w:r>
    </w:p>
    <w:p>
      <w:pPr>
        <w:pStyle w:val="3"/>
        <w:spacing w:before="0" w:after="0" w:line="560" w:lineRule="exact"/>
        <w:ind w:firstLine="640"/>
        <w:rPr>
          <w:rFonts w:ascii="楷体" w:hAnsi="楷体" w:eastAsia="楷体" w:cs="Times New Roman"/>
          <w:b w:val="0"/>
        </w:rPr>
      </w:pPr>
      <w:r>
        <w:rPr>
          <w:rFonts w:ascii="楷体" w:hAnsi="楷体" w:eastAsia="楷体" w:cs="Times New Roman"/>
          <w:b w:val="0"/>
        </w:rPr>
        <w:t>（八）加强其他抢险救援装备应急物资储备</w:t>
      </w:r>
    </w:p>
    <w:p>
      <w:pPr>
        <w:spacing w:line="560" w:lineRule="exact"/>
        <w:ind w:firstLine="640"/>
        <w:outlineLvl w:val="2"/>
        <w:rPr>
          <w:rFonts w:hAnsi="仿宋" w:cs="Times New Roman"/>
          <w:sz w:val="32"/>
          <w:szCs w:val="32"/>
        </w:rPr>
      </w:pPr>
      <w:r>
        <w:rPr>
          <w:rFonts w:hAnsi="仿宋" w:cs="Times New Roman"/>
          <w:sz w:val="32"/>
          <w:szCs w:val="32"/>
        </w:rPr>
        <w:t>1.公共交通枢纽瘫痪应急物资储备。交通运输部门根据需求采用适当方式储备抢险救援物资，包括路上运输、应急动力、生活饮食、住宿保障、保暖衣物等类别的应急物资。公安机关负责储备抢险救灾需要的警用物资。</w:t>
      </w:r>
    </w:p>
    <w:p>
      <w:pPr>
        <w:spacing w:line="560" w:lineRule="exact"/>
        <w:ind w:firstLine="640"/>
        <w:outlineLvl w:val="2"/>
        <w:rPr>
          <w:rFonts w:hAnsi="仿宋" w:cs="Times New Roman"/>
          <w:sz w:val="32"/>
          <w:szCs w:val="32"/>
        </w:rPr>
      </w:pPr>
      <w:r>
        <w:rPr>
          <w:rFonts w:hint="eastAsia" w:hAnsi="仿宋" w:cs="Times New Roman"/>
          <w:sz w:val="32"/>
          <w:szCs w:val="32"/>
        </w:rPr>
        <w:t>2</w:t>
      </w:r>
      <w:r>
        <w:rPr>
          <w:rFonts w:hAnsi="仿宋" w:cs="Times New Roman"/>
          <w:sz w:val="32"/>
          <w:szCs w:val="32"/>
        </w:rPr>
        <w:t>.大面积停电应急物资储备。</w:t>
      </w:r>
      <w:r>
        <w:rPr>
          <w:rFonts w:hAnsi="仿宋" w:cs="Times New Roman"/>
          <w:color w:val="000000" w:themeColor="text1"/>
          <w:sz w:val="32"/>
          <w:szCs w:val="32"/>
        </w:rPr>
        <w:t>供电</w:t>
      </w:r>
      <w:r>
        <w:rPr>
          <w:rFonts w:hint="eastAsia" w:hAnsi="仿宋" w:cs="Times New Roman"/>
          <w:color w:val="000000" w:themeColor="text1"/>
          <w:sz w:val="32"/>
          <w:szCs w:val="32"/>
        </w:rPr>
        <w:t>部门</w:t>
      </w:r>
      <w:r>
        <w:rPr>
          <w:rFonts w:hAnsi="仿宋" w:cs="Times New Roman"/>
          <w:sz w:val="32"/>
          <w:szCs w:val="32"/>
        </w:rPr>
        <w:t>根据需要采用适当方式储备，包括电网抢修作业、现场照明、无线通信、应急动力等应急物资。</w:t>
      </w:r>
    </w:p>
    <w:p>
      <w:pPr>
        <w:spacing w:line="560" w:lineRule="exact"/>
        <w:ind w:firstLine="640"/>
        <w:outlineLvl w:val="2"/>
        <w:rPr>
          <w:rFonts w:hAnsi="仿宋" w:cs="Times New Roman"/>
          <w:sz w:val="32"/>
          <w:szCs w:val="32"/>
        </w:rPr>
      </w:pPr>
      <w:r>
        <w:rPr>
          <w:rFonts w:hint="eastAsia" w:hAnsi="仿宋" w:cs="Times New Roman"/>
          <w:sz w:val="32"/>
          <w:szCs w:val="32"/>
        </w:rPr>
        <w:t>3</w:t>
      </w:r>
      <w:r>
        <w:rPr>
          <w:rFonts w:hAnsi="仿宋" w:cs="Times New Roman"/>
          <w:sz w:val="32"/>
          <w:szCs w:val="32"/>
        </w:rPr>
        <w:t>.高层建筑倒塌应急物资储备。消防救援、住房和城乡建设等职能部门根据需求采用适当方式储备，应急物资包括生命搜救、现场警戒、破拆起重、动力照明等类别。</w:t>
      </w:r>
    </w:p>
    <w:p>
      <w:pPr>
        <w:spacing w:line="560" w:lineRule="exact"/>
        <w:ind w:firstLine="640"/>
        <w:outlineLvl w:val="2"/>
        <w:rPr>
          <w:rFonts w:hAnsi="仿宋" w:cs="Times New Roman"/>
          <w:sz w:val="32"/>
          <w:szCs w:val="32"/>
        </w:rPr>
      </w:pPr>
      <w:r>
        <w:rPr>
          <w:rFonts w:hint="eastAsia" w:hAnsi="仿宋" w:cs="Times New Roman"/>
          <w:sz w:val="32"/>
          <w:szCs w:val="32"/>
        </w:rPr>
        <w:t>4</w:t>
      </w:r>
      <w:r>
        <w:rPr>
          <w:rFonts w:hAnsi="仿宋" w:cs="Times New Roman"/>
          <w:sz w:val="32"/>
          <w:szCs w:val="32"/>
        </w:rPr>
        <w:t>.危化品事故应急物资储备。采取“库队合一”方式，重点储备火灾处置、陆地运输、环境监测、现场警戒、堵漏作业装备与材料、污染物收集、危险化学品处置等品类物资，如消防机器人、泡沫消防车、60米以上大跨距折臂高喷消防车、照明消防车、排烟消防车、化学事故抢险救援车、防化洗消消防车等。</w:t>
      </w:r>
    </w:p>
    <w:p>
      <w:pPr>
        <w:spacing w:line="560" w:lineRule="exact"/>
        <w:ind w:firstLine="640"/>
        <w:outlineLvl w:val="2"/>
        <w:rPr>
          <w:rFonts w:hAnsi="仿宋" w:cs="Times New Roman"/>
          <w:sz w:val="32"/>
          <w:szCs w:val="32"/>
        </w:rPr>
      </w:pPr>
      <w:r>
        <w:rPr>
          <w:rFonts w:hint="eastAsia" w:hAnsi="仿宋" w:cs="Times New Roman"/>
          <w:sz w:val="32"/>
          <w:szCs w:val="32"/>
        </w:rPr>
        <w:t>5</w:t>
      </w:r>
      <w:r>
        <w:rPr>
          <w:rFonts w:hAnsi="仿宋" w:cs="Times New Roman"/>
          <w:sz w:val="32"/>
          <w:szCs w:val="32"/>
        </w:rPr>
        <w:t>.食品药品安全事件应急物资储备。市场监管部门根据需求采用适当方式储备相关应急物资，包括检测车辆、快检装备等。</w:t>
      </w:r>
    </w:p>
    <w:p>
      <w:pPr>
        <w:spacing w:line="560" w:lineRule="exact"/>
        <w:ind w:firstLine="640"/>
        <w:outlineLvl w:val="2"/>
        <w:rPr>
          <w:rFonts w:hAnsi="仿宋" w:cs="Times New Roman"/>
          <w:sz w:val="32"/>
          <w:szCs w:val="32"/>
        </w:rPr>
      </w:pPr>
      <w:r>
        <w:rPr>
          <w:rFonts w:hint="eastAsia" w:hAnsi="仿宋" w:cs="Times New Roman"/>
          <w:sz w:val="32"/>
          <w:szCs w:val="32"/>
        </w:rPr>
        <w:t>6</w:t>
      </w:r>
      <w:r>
        <w:rPr>
          <w:rFonts w:hAnsi="仿宋" w:cs="Times New Roman"/>
          <w:sz w:val="32"/>
          <w:szCs w:val="32"/>
        </w:rPr>
        <w:t>.环境事件应急物资储备。生态环境部门根据需求采用适当方式储备，包括化学与放射等安全防护用品、环境应急检测设备、堵漏作业装备与材料、溢油应急处置装备、污染物收集与处理装备等类别的应急物资。</w:t>
      </w:r>
    </w:p>
    <w:p>
      <w:pPr>
        <w:spacing w:line="560" w:lineRule="exact"/>
        <w:ind w:firstLine="640"/>
        <w:outlineLvl w:val="2"/>
        <w:rPr>
          <w:rFonts w:hAnsi="仿宋" w:cs="Times New Roman"/>
          <w:sz w:val="32"/>
          <w:szCs w:val="32"/>
        </w:rPr>
      </w:pPr>
      <w:r>
        <w:rPr>
          <w:rFonts w:hint="eastAsia" w:hAnsi="仿宋" w:cs="Times New Roman"/>
          <w:sz w:val="32"/>
          <w:szCs w:val="32"/>
        </w:rPr>
        <w:t>7</w:t>
      </w:r>
      <w:r>
        <w:rPr>
          <w:rFonts w:hAnsi="仿宋" w:cs="Times New Roman"/>
          <w:sz w:val="32"/>
          <w:szCs w:val="32"/>
        </w:rPr>
        <w:t>.生物灾害应急物资储备。农业农村（畜牧兽医）、林业部门根据需求采用适当方式储备相关应急物资，包括生物灾害监测、药剂喷洒设备、防控药剂、人员防护装备、杀虫药剂、疫木处置装备等。</w:t>
      </w:r>
    </w:p>
    <w:p>
      <w:pPr>
        <w:spacing w:line="560" w:lineRule="exact"/>
        <w:ind w:firstLine="640"/>
        <w:outlineLvl w:val="2"/>
        <w:rPr>
          <w:rFonts w:hAnsi="仿宋" w:cs="Times New Roman"/>
          <w:sz w:val="32"/>
          <w:szCs w:val="32"/>
        </w:rPr>
      </w:pPr>
      <w:r>
        <w:rPr>
          <w:rFonts w:hint="eastAsia" w:hAnsi="仿宋" w:cs="Times New Roman"/>
          <w:sz w:val="32"/>
          <w:szCs w:val="32"/>
        </w:rPr>
        <w:t>8</w:t>
      </w:r>
      <w:r>
        <w:rPr>
          <w:rFonts w:hAnsi="仿宋" w:cs="Times New Roman"/>
          <w:sz w:val="32"/>
          <w:szCs w:val="32"/>
        </w:rPr>
        <w:t>.大规模网络瘫痪应急物资储备。移动、电信、联通等通讯单位根据需求采用适当方式储备，应急物资包括通信设施抢修、通用防护、现场警戒、无线通信、通信抢修恢复、应急动力、网络通信等类别。</w:t>
      </w:r>
    </w:p>
    <w:p>
      <w:pPr>
        <w:spacing w:line="560" w:lineRule="exact"/>
        <w:ind w:firstLine="480" w:firstLineChars="150"/>
        <w:outlineLvl w:val="2"/>
        <w:rPr>
          <w:rFonts w:hAnsi="仿宋" w:cs="Times New Roman"/>
          <w:sz w:val="32"/>
          <w:szCs w:val="32"/>
        </w:rPr>
      </w:pPr>
      <w:r>
        <w:rPr>
          <w:rFonts w:hint="eastAsia" w:hAnsi="仿宋" w:cs="Times New Roman"/>
          <w:sz w:val="32"/>
          <w:szCs w:val="32"/>
        </w:rPr>
        <w:t xml:space="preserve"> 9</w:t>
      </w:r>
      <w:r>
        <w:rPr>
          <w:rFonts w:hAnsi="仿宋" w:cs="Times New Roman"/>
          <w:sz w:val="32"/>
          <w:szCs w:val="32"/>
        </w:rPr>
        <w:t>.大规模群体性聚集事件应急物资储备。公安机关负责警用物资储备。粮食和物资储备部门负责其他物资储备，包括群众饮食、住宿帐篷、现场照明、保暖衣物等。</w:t>
      </w:r>
    </w:p>
    <w:p>
      <w:pPr>
        <w:pStyle w:val="3"/>
        <w:spacing w:before="0" w:after="0" w:line="560" w:lineRule="exact"/>
        <w:ind w:firstLine="640"/>
        <w:rPr>
          <w:rFonts w:ascii="楷体" w:hAnsi="楷体" w:eastAsia="楷体" w:cs="Times New Roman"/>
          <w:b w:val="0"/>
        </w:rPr>
      </w:pPr>
      <w:bookmarkStart w:id="9" w:name="_Toc12269"/>
      <w:r>
        <w:rPr>
          <w:rFonts w:ascii="楷体" w:hAnsi="楷体" w:eastAsia="楷体" w:cs="Times New Roman"/>
          <w:b w:val="0"/>
        </w:rPr>
        <w:t>（九）</w:t>
      </w:r>
      <w:bookmarkEnd w:id="9"/>
      <w:r>
        <w:rPr>
          <w:rFonts w:ascii="楷体" w:hAnsi="楷体" w:eastAsia="楷体" w:cs="Times New Roman"/>
          <w:b w:val="0"/>
        </w:rPr>
        <w:t>增强应急物资要素配置能力</w:t>
      </w:r>
    </w:p>
    <w:p>
      <w:pPr>
        <w:spacing w:line="560" w:lineRule="exact"/>
        <w:ind w:firstLine="640"/>
        <w:rPr>
          <w:rFonts w:hAnsi="仿宋" w:cs="宋体"/>
          <w:color w:val="000000"/>
          <w:kern w:val="0"/>
          <w:sz w:val="32"/>
          <w:szCs w:val="32"/>
        </w:rPr>
      </w:pPr>
      <w:r>
        <w:rPr>
          <w:rFonts w:hAnsi="仿宋" w:cs="Times New Roman"/>
          <w:sz w:val="32"/>
          <w:szCs w:val="32"/>
        </w:rPr>
        <w:t>1.建立应急物资采购机制。分级分类评估应急物资需求，健全应急物资分级分类储备标准和目录，科学确定政府储备、社会化储备、生产能力储备的比例及数量，按需制定应急物资年度采购计划，统一采购渠道，规范采购流程，提高采购效率，确保有效采购。</w:t>
      </w:r>
      <w:r>
        <w:rPr>
          <w:rFonts w:hint="eastAsia" w:hAnsi="仿宋" w:cs="宋体"/>
          <w:color w:val="000000"/>
          <w:kern w:val="0"/>
          <w:sz w:val="32"/>
          <w:szCs w:val="32"/>
        </w:rPr>
        <w:t>科学合理制定应急物资紧急筹措计划，建立健全统一高效的调拨机制，完善调拨程序，规范调拨流程，形成上下联动、横向协作、部门互动、资源共享的应急物资调拨保 障制度，提高社会救援力量参与积极性。</w:t>
      </w:r>
    </w:p>
    <w:p>
      <w:pPr>
        <w:spacing w:line="560" w:lineRule="exact"/>
        <w:ind w:firstLine="640"/>
        <w:rPr>
          <w:rFonts w:hAnsi="仿宋" w:cs="宋体"/>
          <w:kern w:val="0"/>
          <w:sz w:val="24"/>
          <w:szCs w:val="24"/>
        </w:rPr>
      </w:pPr>
      <w:r>
        <w:rPr>
          <w:rFonts w:hAnsi="仿宋" w:cs="Times New Roman"/>
          <w:sz w:val="32"/>
          <w:szCs w:val="32"/>
        </w:rPr>
        <w:t>2.建立存储物资轮换机制。按照“总量稳定、用旧储新、等量补充、动态轮换”的原则，建立分级负责、紧密衔接、科学高效的应急物资轮换管理制度，科学确定应急物资储存期限，结合洪涝、森林火灾等自然灾害，危化品等以及救援队伍装备配备的不同特点，通过供应周转、调拨使用、市场销售、返厂轮换、代储轮换等模式，适时倒库更新，实现应急物资储备的良性循环，最大限度发挥物资存储效能。</w:t>
      </w:r>
    </w:p>
    <w:p>
      <w:pPr>
        <w:spacing w:line="560" w:lineRule="exact"/>
        <w:ind w:firstLine="640"/>
        <w:outlineLvl w:val="2"/>
        <w:rPr>
          <w:rFonts w:hAnsi="仿宋" w:cs="Times New Roman"/>
          <w:sz w:val="32"/>
          <w:szCs w:val="32"/>
        </w:rPr>
      </w:pPr>
      <w:r>
        <w:rPr>
          <w:rFonts w:hAnsi="仿宋" w:cs="Times New Roman"/>
          <w:sz w:val="32"/>
          <w:szCs w:val="32"/>
        </w:rPr>
        <w:t>3.建立保障联动机制。建立政府（实物）、企业（商业）、产能、专业队伍等储备和其他储备互联互通的应急物资保障联动机制。根据应对处置需求，依次动用实物、队伍、企业、产能等储备，以紧急采购、临时征用、社会捐赠等作为补充，形成稳定可靠的应急物资供应链。建立应急状态下紧急生产、紧急采购等紧急保障机制，构建全</w:t>
      </w:r>
      <w:r>
        <w:rPr>
          <w:rFonts w:hint="eastAsia" w:hAnsi="仿宋" w:cs="Times New Roman"/>
          <w:sz w:val="32"/>
          <w:szCs w:val="32"/>
        </w:rPr>
        <w:t>区</w:t>
      </w:r>
      <w:r>
        <w:rPr>
          <w:rFonts w:hAnsi="仿宋" w:cs="Times New Roman"/>
          <w:sz w:val="32"/>
          <w:szCs w:val="32"/>
        </w:rPr>
        <w:t>统一的应急物资采购供应平台。规范完善应急物资紧急生产程序，统一组织原材料供应、安排定点生产、强化能源要素保障，确保生产供应有序有力。积极推进应急物资储备军民合作。</w:t>
      </w:r>
    </w:p>
    <w:p>
      <w:pPr>
        <w:spacing w:line="560" w:lineRule="exact"/>
        <w:ind w:firstLine="640"/>
        <w:outlineLvl w:val="2"/>
        <w:rPr>
          <w:rFonts w:hAnsi="仿宋" w:cs="Times New Roman"/>
          <w:sz w:val="32"/>
          <w:szCs w:val="32"/>
        </w:rPr>
      </w:pPr>
      <w:r>
        <w:rPr>
          <w:rFonts w:hAnsi="仿宋" w:cs="Times New Roman"/>
          <w:sz w:val="32"/>
          <w:szCs w:val="32"/>
        </w:rPr>
        <w:t>4.建立高效运输配送机制。依托各类交通设施，建立应急物资优先通道和快速通行、快速通关机制，提高应急物流配送效率。借助社会力量，与大型物流企业深入合作，提高应急物资分发和配送能力。</w:t>
      </w:r>
    </w:p>
    <w:p>
      <w:pPr>
        <w:spacing w:line="560" w:lineRule="exact"/>
        <w:ind w:firstLine="640"/>
        <w:outlineLvl w:val="2"/>
        <w:rPr>
          <w:rFonts w:hAnsi="仿宋" w:cs="Times New Roman"/>
          <w:sz w:val="32"/>
          <w:szCs w:val="32"/>
        </w:rPr>
      </w:pPr>
      <w:r>
        <w:rPr>
          <w:rFonts w:hAnsi="仿宋" w:cs="Times New Roman"/>
          <w:sz w:val="32"/>
          <w:szCs w:val="32"/>
        </w:rPr>
        <w:t>5.建立应急物资社会化储备机制。对不宜由政府储备的易耗类、保质期短的物资和大型装备，统筹利用企业、个人仓储设施，采取签订协议储备合同、协议供货合同、委托代储、政府适当付仓储费用等多种方式，实施社会化储备。鼓励、引导、指导企事业单位、社会组织和家庭储备必要应急物资。</w:t>
      </w:r>
    </w:p>
    <w:p>
      <w:pPr>
        <w:spacing w:line="560" w:lineRule="exact"/>
        <w:ind w:firstLine="640"/>
        <w:rPr>
          <w:rFonts w:hAnsi="仿宋" w:cs="Times New Roman"/>
          <w:sz w:val="32"/>
          <w:szCs w:val="32"/>
        </w:rPr>
      </w:pPr>
      <w:r>
        <w:rPr>
          <w:rFonts w:hAnsi="仿宋" w:cs="Times New Roman"/>
          <w:sz w:val="32"/>
          <w:szCs w:val="32"/>
        </w:rPr>
        <w:t>6.加快培育应急物资产业。依托</w:t>
      </w:r>
      <w:r>
        <w:rPr>
          <w:rFonts w:hint="eastAsia" w:hAnsi="仿宋" w:cs="Times New Roman"/>
          <w:sz w:val="32"/>
          <w:szCs w:val="32"/>
        </w:rPr>
        <w:t>兰山区</w:t>
      </w:r>
      <w:r>
        <w:rPr>
          <w:rFonts w:hAnsi="仿宋" w:cs="Times New Roman"/>
          <w:sz w:val="32"/>
          <w:szCs w:val="32"/>
        </w:rPr>
        <w:t>物流产业优势，加大政策扶持力度，推进应急物资产业园建设，构建应急物资研发、生产、采购、仓储、配送一体化运营模式，满足我</w:t>
      </w:r>
      <w:r>
        <w:rPr>
          <w:rFonts w:hint="eastAsia" w:hAnsi="仿宋" w:cs="Times New Roman"/>
          <w:sz w:val="32"/>
          <w:szCs w:val="32"/>
        </w:rPr>
        <w:t>区</w:t>
      </w:r>
      <w:r>
        <w:rPr>
          <w:rFonts w:hAnsi="仿宋" w:cs="Times New Roman"/>
          <w:sz w:val="32"/>
          <w:szCs w:val="32"/>
        </w:rPr>
        <w:t>及周边</w:t>
      </w:r>
      <w:r>
        <w:rPr>
          <w:rFonts w:hint="eastAsia" w:hAnsi="仿宋" w:cs="Times New Roman"/>
          <w:sz w:val="32"/>
          <w:szCs w:val="32"/>
        </w:rPr>
        <w:t>县区</w:t>
      </w:r>
      <w:r>
        <w:rPr>
          <w:rFonts w:hAnsi="仿宋" w:cs="Times New Roman"/>
          <w:sz w:val="32"/>
          <w:szCs w:val="32"/>
        </w:rPr>
        <w:t>的应急物资、应急装备、安全防护用品的供应需求。</w:t>
      </w:r>
    </w:p>
    <w:p>
      <w:pPr>
        <w:pStyle w:val="3"/>
        <w:spacing w:before="0" w:after="0" w:line="560" w:lineRule="exact"/>
        <w:ind w:firstLine="640"/>
        <w:rPr>
          <w:rFonts w:ascii="楷体" w:hAnsi="楷体" w:eastAsia="楷体" w:cs="Times New Roman"/>
          <w:b w:val="0"/>
        </w:rPr>
      </w:pPr>
      <w:bookmarkStart w:id="10" w:name="_Toc9695"/>
      <w:r>
        <w:rPr>
          <w:rFonts w:ascii="楷体" w:hAnsi="楷体" w:eastAsia="楷体" w:cs="Times New Roman"/>
          <w:b w:val="0"/>
        </w:rPr>
        <w:t>（十）建设应急物资储备管理信息</w:t>
      </w:r>
      <w:bookmarkEnd w:id="10"/>
      <w:r>
        <w:rPr>
          <w:rFonts w:ascii="楷体" w:hAnsi="楷体" w:eastAsia="楷体" w:cs="Times New Roman"/>
          <w:b w:val="0"/>
        </w:rPr>
        <w:t>平台</w:t>
      </w:r>
    </w:p>
    <w:p>
      <w:pPr>
        <w:spacing w:line="560" w:lineRule="exact"/>
        <w:ind w:firstLine="640"/>
        <w:outlineLvl w:val="2"/>
        <w:rPr>
          <w:rFonts w:hAnsi="仿宋" w:cs="Times New Roman"/>
          <w:sz w:val="32"/>
          <w:szCs w:val="32"/>
        </w:rPr>
      </w:pPr>
      <w:r>
        <w:rPr>
          <w:rFonts w:hAnsi="仿宋" w:cs="Times New Roman"/>
          <w:color w:val="000000" w:themeColor="text1"/>
          <w:sz w:val="32"/>
          <w:szCs w:val="32"/>
        </w:rPr>
        <w:t>1.</w:t>
      </w:r>
      <w:r>
        <w:rPr>
          <w:rFonts w:hint="eastAsia" w:hAnsi="仿宋" w:cs="Times New Roman"/>
          <w:color w:val="000000" w:themeColor="text1"/>
          <w:sz w:val="32"/>
          <w:szCs w:val="32"/>
        </w:rPr>
        <w:t>完善</w:t>
      </w:r>
      <w:r>
        <w:rPr>
          <w:rFonts w:hAnsi="仿宋" w:cs="Times New Roman"/>
          <w:color w:val="000000" w:themeColor="text1"/>
          <w:sz w:val="32"/>
          <w:szCs w:val="32"/>
        </w:rPr>
        <w:t>应急物资管理信息平台。</w:t>
      </w:r>
      <w:r>
        <w:rPr>
          <w:rFonts w:hAnsi="仿宋" w:cs="Times New Roman"/>
          <w:sz w:val="32"/>
          <w:szCs w:val="32"/>
        </w:rPr>
        <w:t>实现各部门（单位）应急物资、储备库、队伍、装备等信息的互联互通，对应急物资储备情况实施全周期动态监测；根据突发事件物资需求，实现应急物资调拨、运输、紧急生产、配送分发、征用、捐赠全流程管理。</w:t>
      </w:r>
    </w:p>
    <w:p>
      <w:pPr>
        <w:spacing w:line="560" w:lineRule="exact"/>
        <w:ind w:firstLine="640"/>
        <w:outlineLvl w:val="2"/>
        <w:rPr>
          <w:rFonts w:hAnsi="仿宋" w:cs="Times New Roman"/>
          <w:sz w:val="32"/>
          <w:szCs w:val="32"/>
        </w:rPr>
      </w:pPr>
      <w:r>
        <w:rPr>
          <w:rFonts w:hAnsi="仿宋" w:cs="Times New Roman"/>
          <w:sz w:val="32"/>
          <w:szCs w:val="32"/>
        </w:rPr>
        <w:t>2.建设应急物资信息资源库。制定信息系统数据标准，统一应急物资分类编码和命名规范，建立全</w:t>
      </w:r>
      <w:r>
        <w:rPr>
          <w:rFonts w:hint="eastAsia" w:hAnsi="仿宋" w:cs="Times New Roman"/>
          <w:sz w:val="32"/>
          <w:szCs w:val="32"/>
        </w:rPr>
        <w:t>区</w:t>
      </w:r>
      <w:r>
        <w:rPr>
          <w:rFonts w:hAnsi="仿宋" w:cs="Times New Roman"/>
          <w:sz w:val="32"/>
          <w:szCs w:val="32"/>
        </w:rPr>
        <w:t>统一的应急物资信息资源库，涵</w:t>
      </w:r>
      <w:r>
        <w:rPr>
          <w:rFonts w:hAnsi="仿宋" w:cs="Times New Roman"/>
          <w:color w:val="000000" w:themeColor="text1"/>
          <w:sz w:val="32"/>
          <w:szCs w:val="32"/>
        </w:rPr>
        <w:t>盖</w:t>
      </w:r>
      <w:r>
        <w:rPr>
          <w:rFonts w:hint="eastAsia" w:hAnsi="仿宋" w:cs="Times New Roman"/>
          <w:color w:val="000000" w:themeColor="text1"/>
          <w:sz w:val="32"/>
          <w:szCs w:val="32"/>
        </w:rPr>
        <w:t>区级、镇街</w:t>
      </w:r>
      <w:r>
        <w:rPr>
          <w:rFonts w:hAnsi="仿宋" w:cs="Times New Roman"/>
          <w:color w:val="000000" w:themeColor="text1"/>
          <w:sz w:val="32"/>
          <w:szCs w:val="32"/>
        </w:rPr>
        <w:t>（实物）储备、企业（商业）储备、产能储备、专业队伍能力储备和社</w:t>
      </w:r>
      <w:r>
        <w:rPr>
          <w:rFonts w:hAnsi="仿宋" w:cs="Times New Roman"/>
          <w:sz w:val="32"/>
          <w:szCs w:val="32"/>
        </w:rPr>
        <w:t>会化储备，以及国内外应急物资生产企业、上下游配套企业等信息，实施有效的信息化管理。</w:t>
      </w:r>
    </w:p>
    <w:p>
      <w:pPr>
        <w:pStyle w:val="3"/>
        <w:spacing w:before="0" w:after="0" w:line="560" w:lineRule="exact"/>
        <w:ind w:firstLine="640"/>
        <w:rPr>
          <w:rFonts w:ascii="楷体" w:hAnsi="楷体" w:eastAsia="楷体" w:cs="Times New Roman"/>
          <w:b w:val="0"/>
        </w:rPr>
      </w:pPr>
      <w:bookmarkStart w:id="11" w:name="_Toc578"/>
      <w:r>
        <w:rPr>
          <w:rFonts w:ascii="楷体" w:hAnsi="楷体" w:eastAsia="楷体" w:cs="Times New Roman"/>
          <w:b w:val="0"/>
        </w:rPr>
        <w:t>（十一）加强法规制度建设</w:t>
      </w:r>
      <w:bookmarkEnd w:id="11"/>
    </w:p>
    <w:p>
      <w:pPr>
        <w:spacing w:line="560" w:lineRule="exact"/>
        <w:ind w:firstLine="640"/>
        <w:outlineLvl w:val="2"/>
        <w:rPr>
          <w:rFonts w:hAnsi="仿宋" w:cs="Times New Roman"/>
          <w:sz w:val="32"/>
          <w:szCs w:val="32"/>
        </w:rPr>
      </w:pPr>
      <w:r>
        <w:rPr>
          <w:rFonts w:hAnsi="仿宋" w:cs="Times New Roman"/>
          <w:sz w:val="32"/>
          <w:szCs w:val="32"/>
        </w:rPr>
        <w:t>1.建立健全法规制度。制定应急物资储备管理制度，对应急物资储备管理的职责分工、采购储备、仓储管理、调拨运输、分发使用、回收报废、经费保障等进行规范，推进应急物资储备保障规范化、标准化建设。</w:t>
      </w:r>
    </w:p>
    <w:p>
      <w:pPr>
        <w:spacing w:line="560" w:lineRule="exact"/>
        <w:ind w:firstLine="640"/>
        <w:outlineLvl w:val="2"/>
        <w:rPr>
          <w:rFonts w:hAnsi="仿宋" w:cs="Times New Roman"/>
          <w:sz w:val="32"/>
          <w:szCs w:val="32"/>
        </w:rPr>
      </w:pPr>
      <w:r>
        <w:rPr>
          <w:rFonts w:hAnsi="仿宋" w:cs="Times New Roman"/>
          <w:sz w:val="32"/>
          <w:szCs w:val="32"/>
        </w:rPr>
        <w:t>2.建立完善应急物资效能评估制度。通过情景推演、模拟演练、复盘实操等方式，对应急物资储备体系进行环节检验、能力评估，结合部门需求和专家论证意见，定期对储备体系进行评估，确保储备物资能够适应形势任务需要并实现逐年改进。</w:t>
      </w:r>
    </w:p>
    <w:p>
      <w:pPr>
        <w:pStyle w:val="3"/>
        <w:spacing w:before="0" w:after="0" w:line="560" w:lineRule="exact"/>
        <w:ind w:firstLine="640"/>
        <w:rPr>
          <w:rFonts w:ascii="楷体" w:hAnsi="楷体" w:eastAsia="楷体" w:cs="Times New Roman"/>
          <w:b w:val="0"/>
        </w:rPr>
      </w:pPr>
      <w:r>
        <w:rPr>
          <w:rFonts w:ascii="楷体" w:hAnsi="楷体" w:eastAsia="楷体" w:cs="Times New Roman"/>
          <w:b w:val="0"/>
        </w:rPr>
        <w:t>（十二）加强财政金融扶持</w:t>
      </w:r>
    </w:p>
    <w:p>
      <w:pPr>
        <w:spacing w:line="560" w:lineRule="exact"/>
        <w:ind w:firstLine="640"/>
        <w:outlineLvl w:val="2"/>
        <w:rPr>
          <w:rFonts w:hAnsi="仿宋" w:cs="Times New Roman"/>
          <w:sz w:val="32"/>
          <w:szCs w:val="32"/>
        </w:rPr>
      </w:pPr>
      <w:r>
        <w:rPr>
          <w:rFonts w:hAnsi="仿宋" w:cs="Times New Roman"/>
          <w:sz w:val="32"/>
          <w:szCs w:val="32"/>
        </w:rPr>
        <w:t>1.加强预算管理和财政扶持。加强对应急物资储备资金的预算管理，年度储备计划应当与经济社会发展水平及财政收支状况相适应，与本级预算相衔接，保障应急物资储备。各相关部门要加强对应急物资储备项目的事前绩效评估，评估结果作为申请预算的必要条件。落实和完善适用于应急物资商业储备和产能储备的财政补贴和税收优惠政策。</w:t>
      </w:r>
    </w:p>
    <w:p>
      <w:pPr>
        <w:spacing w:line="560" w:lineRule="exact"/>
        <w:ind w:firstLine="640"/>
        <w:outlineLvl w:val="2"/>
        <w:rPr>
          <w:rFonts w:hAnsi="仿宋" w:cs="Times New Roman"/>
          <w:sz w:val="32"/>
          <w:szCs w:val="32"/>
        </w:rPr>
      </w:pPr>
      <w:r>
        <w:rPr>
          <w:rFonts w:hAnsi="仿宋" w:cs="Times New Roman"/>
          <w:sz w:val="32"/>
          <w:szCs w:val="32"/>
        </w:rPr>
        <w:t>2.加强金融支持。对突发事件应急物资储备项目和重要医用、生活物资重点企业给予金融信贷支持，实施优惠贷款利率。充分发挥各类保险机构作用，丰富保险种类，扩大商业保险承保和赔付范围，完善风险分担机制。探索设立应急管理公益性基金或专项开发基金，建立政府、企业、社会相结合的资金投入机制。</w:t>
      </w:r>
    </w:p>
    <w:p>
      <w:pPr>
        <w:spacing w:line="560" w:lineRule="exact"/>
        <w:ind w:firstLine="640"/>
        <w:rPr>
          <w:rFonts w:hAnsi="仿宋" w:cs="Times New Roman"/>
          <w:sz w:val="32"/>
          <w:szCs w:val="32"/>
        </w:rPr>
      </w:pPr>
    </w:p>
    <w:p>
      <w:pPr>
        <w:spacing w:line="560" w:lineRule="exact"/>
        <w:ind w:firstLine="640"/>
        <w:rPr>
          <w:rFonts w:hAnsi="仿宋" w:cs="Times New Roman"/>
          <w:sz w:val="32"/>
          <w:szCs w:val="32"/>
        </w:rPr>
      </w:pPr>
      <w:r>
        <w:rPr>
          <w:rFonts w:hint="eastAsia" w:hAnsi="仿宋" w:cs="Times New Roman"/>
          <w:sz w:val="32"/>
          <w:szCs w:val="32"/>
        </w:rPr>
        <w:t>附件：区级应急物资保障职责分工表</w:t>
      </w:r>
    </w:p>
    <w:p>
      <w:pPr>
        <w:spacing w:line="560" w:lineRule="exact"/>
        <w:ind w:firstLine="640"/>
        <w:rPr>
          <w:rFonts w:hAnsi="仿宋" w:cs="Times New Roman"/>
          <w:sz w:val="32"/>
          <w:szCs w:val="32"/>
        </w:rPr>
      </w:pPr>
      <w:r>
        <w:rPr>
          <w:rFonts w:hint="eastAsia" w:hAnsi="仿宋" w:cs="Times New Roman"/>
          <w:sz w:val="32"/>
          <w:szCs w:val="32"/>
        </w:rPr>
        <w:t xml:space="preserve">    </w:t>
      </w:r>
    </w:p>
    <w:p>
      <w:pPr>
        <w:spacing w:line="560" w:lineRule="exact"/>
        <w:ind w:firstLine="640"/>
        <w:rPr>
          <w:rFonts w:ascii="Times New Roman" w:hAnsi="Times New Roman" w:cs="Times New Roman"/>
          <w:sz w:val="32"/>
          <w:szCs w:val="32"/>
        </w:rPr>
      </w:pPr>
    </w:p>
    <w:p>
      <w:pPr>
        <w:spacing w:line="560" w:lineRule="exact"/>
        <w:ind w:firstLine="640"/>
        <w:rPr>
          <w:rFonts w:ascii="Times New Roman" w:hAnsi="Times New Roman" w:cs="Times New Roman"/>
          <w:sz w:val="32"/>
          <w:szCs w:val="32"/>
        </w:rPr>
      </w:pPr>
    </w:p>
    <w:p>
      <w:pPr>
        <w:spacing w:line="560" w:lineRule="exact"/>
        <w:ind w:firstLine="640"/>
        <w:rPr>
          <w:rFonts w:ascii="Times New Roman" w:hAnsi="Times New Roman" w:cs="Times New Roman"/>
          <w:sz w:val="32"/>
          <w:szCs w:val="32"/>
        </w:rPr>
      </w:pPr>
    </w:p>
    <w:p>
      <w:pPr>
        <w:spacing w:line="560" w:lineRule="exact"/>
        <w:ind w:firstLine="640"/>
        <w:rPr>
          <w:rFonts w:ascii="Times New Roman" w:hAnsi="Times New Roman" w:cs="Times New Roman"/>
          <w:sz w:val="32"/>
          <w:szCs w:val="32"/>
        </w:rPr>
      </w:pPr>
    </w:p>
    <w:p>
      <w:pPr>
        <w:spacing w:line="560" w:lineRule="exact"/>
        <w:ind w:firstLine="0" w:firstLineChars="0"/>
        <w:rPr>
          <w:rFonts w:ascii="Times New Roman" w:hAnsi="Times New Roman" w:eastAsia="黑体" w:cs="Times New Roman"/>
          <w:bCs/>
          <w:sz w:val="32"/>
          <w:szCs w:val="32"/>
        </w:rPr>
      </w:pPr>
      <w:r>
        <w:rPr>
          <w:rFonts w:ascii="Times New Roman" w:hAnsi="Times New Roman" w:eastAsia="黑体" w:cs="Times New Roman"/>
          <w:bCs/>
          <w:sz w:val="32"/>
          <w:szCs w:val="32"/>
        </w:rPr>
        <w:t>附</w:t>
      </w:r>
      <w:r>
        <w:rPr>
          <w:rFonts w:hint="eastAsia" w:ascii="Times New Roman" w:hAnsi="Times New Roman" w:eastAsia="黑体" w:cs="Times New Roman"/>
          <w:bCs/>
          <w:sz w:val="32"/>
          <w:szCs w:val="32"/>
        </w:rPr>
        <w:t>件：</w:t>
      </w:r>
      <w:r>
        <w:rPr>
          <w:rFonts w:ascii="Times New Roman" w:hAnsi="Times New Roman" w:eastAsia="黑体" w:cs="Times New Roman"/>
          <w:bCs/>
          <w:sz w:val="32"/>
          <w:szCs w:val="32"/>
        </w:rPr>
        <w:t xml:space="preserve">      </w:t>
      </w:r>
    </w:p>
    <w:p>
      <w:pPr>
        <w:spacing w:line="560" w:lineRule="exact"/>
        <w:ind w:firstLine="880"/>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 xml:space="preserve">   区级</w:t>
      </w:r>
      <w:r>
        <w:rPr>
          <w:rFonts w:ascii="Times New Roman" w:hAnsi="Times New Roman" w:eastAsia="方正小标宋简体" w:cs="Times New Roman"/>
          <w:bCs/>
          <w:sz w:val="44"/>
          <w:szCs w:val="44"/>
        </w:rPr>
        <w:t>应急物资保障职责分工表</w:t>
      </w:r>
    </w:p>
    <w:p>
      <w:pPr>
        <w:spacing w:line="560" w:lineRule="exact"/>
        <w:ind w:firstLine="482"/>
        <w:jc w:val="left"/>
        <w:rPr>
          <w:rFonts w:ascii="Times New Roman" w:hAnsi="Times New Roman" w:cs="Times New Roman"/>
          <w:b/>
          <w:bCs/>
          <w:sz w:val="24"/>
          <w:szCs w:val="24"/>
        </w:rPr>
      </w:pPr>
    </w:p>
    <w:tbl>
      <w:tblPr>
        <w:tblStyle w:val="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87"/>
        <w:gridCol w:w="6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087" w:type="dxa"/>
            <w:shd w:val="clear" w:color="auto" w:fill="auto"/>
            <w:tcMar>
              <w:top w:w="8" w:type="dxa"/>
              <w:left w:w="8" w:type="dxa"/>
              <w:right w:w="8" w:type="dxa"/>
            </w:tcMar>
            <w:vAlign w:val="center"/>
          </w:tcPr>
          <w:p>
            <w:pPr>
              <w:widowControl/>
              <w:spacing w:line="560" w:lineRule="exact"/>
              <w:ind w:firstLine="0" w:firstLineChars="0"/>
              <w:jc w:val="center"/>
              <w:textAlignment w:val="center"/>
              <w:rPr>
                <w:rFonts w:ascii="Times New Roman" w:hAnsi="Times New Roman" w:eastAsia="黑体" w:cs="Times New Roman"/>
                <w:bCs/>
                <w:sz w:val="32"/>
                <w:szCs w:val="32"/>
              </w:rPr>
            </w:pPr>
            <w:r>
              <w:rPr>
                <w:rFonts w:ascii="Times New Roman" w:hAnsi="Times New Roman" w:eastAsia="黑体" w:cs="Times New Roman"/>
                <w:bCs/>
                <w:kern w:val="0"/>
                <w:sz w:val="32"/>
                <w:szCs w:val="32"/>
              </w:rPr>
              <w:t>应急物资类别</w:t>
            </w:r>
          </w:p>
        </w:tc>
        <w:tc>
          <w:tcPr>
            <w:tcW w:w="6101" w:type="dxa"/>
            <w:shd w:val="clear" w:color="auto" w:fill="auto"/>
            <w:tcMar>
              <w:top w:w="8" w:type="dxa"/>
              <w:left w:w="8" w:type="dxa"/>
              <w:right w:w="8" w:type="dxa"/>
            </w:tcMar>
            <w:vAlign w:val="center"/>
          </w:tcPr>
          <w:p>
            <w:pPr>
              <w:widowControl/>
              <w:spacing w:line="560" w:lineRule="exact"/>
              <w:ind w:firstLine="0" w:firstLineChars="0"/>
              <w:jc w:val="center"/>
              <w:textAlignment w:val="center"/>
              <w:rPr>
                <w:rFonts w:ascii="Times New Roman" w:hAnsi="Times New Roman" w:eastAsia="黑体" w:cs="Times New Roman"/>
                <w:bCs/>
                <w:sz w:val="32"/>
                <w:szCs w:val="32"/>
              </w:rPr>
            </w:pPr>
            <w:r>
              <w:rPr>
                <w:rFonts w:ascii="Times New Roman" w:hAnsi="Times New Roman" w:eastAsia="黑体" w:cs="Times New Roman"/>
                <w:bCs/>
                <w:sz w:val="32"/>
                <w:szCs w:val="32"/>
              </w:rPr>
              <w:t>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087" w:type="dxa"/>
            <w:shd w:val="clear" w:color="auto" w:fill="auto"/>
            <w:tcMar>
              <w:top w:w="8" w:type="dxa"/>
              <w:left w:w="8" w:type="dxa"/>
              <w:right w:w="8" w:type="dxa"/>
            </w:tcMar>
            <w:vAlign w:val="center"/>
          </w:tcPr>
          <w:p>
            <w:pPr>
              <w:widowControl/>
              <w:spacing w:line="560" w:lineRule="exact"/>
              <w:ind w:firstLine="0" w:firstLineChars="0"/>
              <w:textAlignment w:val="center"/>
              <w:rPr>
                <w:rFonts w:hAnsi="仿宋" w:cs="仿宋"/>
                <w:color w:val="000000"/>
                <w:sz w:val="24"/>
                <w:szCs w:val="24"/>
              </w:rPr>
            </w:pPr>
            <w:r>
              <w:rPr>
                <w:rFonts w:hint="eastAsia" w:hAnsi="仿宋" w:cs="仿宋"/>
                <w:color w:val="000000"/>
                <w:kern w:val="0"/>
                <w:sz w:val="24"/>
                <w:szCs w:val="24"/>
              </w:rPr>
              <w:t>生活保障应急物资</w:t>
            </w:r>
          </w:p>
        </w:tc>
        <w:tc>
          <w:tcPr>
            <w:tcW w:w="6101" w:type="dxa"/>
            <w:shd w:val="clear" w:color="auto" w:fill="auto"/>
            <w:tcMar>
              <w:top w:w="8" w:type="dxa"/>
              <w:left w:w="8" w:type="dxa"/>
              <w:right w:w="8" w:type="dxa"/>
            </w:tcMar>
            <w:vAlign w:val="center"/>
          </w:tcPr>
          <w:p>
            <w:pPr>
              <w:widowControl/>
              <w:spacing w:line="560" w:lineRule="exact"/>
              <w:ind w:firstLine="0" w:firstLineChars="0"/>
              <w:jc w:val="left"/>
              <w:textAlignment w:val="center"/>
              <w:rPr>
                <w:rFonts w:hAnsi="仿宋" w:cs="仿宋"/>
                <w:color w:val="000000"/>
                <w:sz w:val="24"/>
                <w:szCs w:val="24"/>
              </w:rPr>
            </w:pPr>
            <w:r>
              <w:rPr>
                <w:rFonts w:hint="eastAsia" w:hAnsi="仿宋" w:cs="仿宋"/>
                <w:color w:val="000000"/>
                <w:kern w:val="0"/>
                <w:sz w:val="24"/>
                <w:szCs w:val="24"/>
              </w:rPr>
              <w:t>应急、</w:t>
            </w:r>
            <w:r>
              <w:rPr>
                <w:rFonts w:hint="eastAsia" w:hAnsi="仿宋" w:cs="仿宋"/>
                <w:color w:val="000000" w:themeColor="text1"/>
                <w:kern w:val="0"/>
                <w:sz w:val="24"/>
                <w:szCs w:val="24"/>
              </w:rPr>
              <w:t>发展改革</w:t>
            </w:r>
            <w:r>
              <w:rPr>
                <w:rFonts w:hint="eastAsia" w:hAnsi="仿宋" w:cs="仿宋"/>
                <w:color w:val="000000"/>
                <w:kern w:val="0"/>
                <w:sz w:val="24"/>
                <w:szCs w:val="24"/>
              </w:rPr>
              <w:t>、商务等部门（单位）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087" w:type="dxa"/>
            <w:shd w:val="clear" w:color="auto" w:fill="auto"/>
            <w:tcMar>
              <w:top w:w="8" w:type="dxa"/>
              <w:left w:w="8" w:type="dxa"/>
              <w:right w:w="8" w:type="dxa"/>
            </w:tcMar>
            <w:vAlign w:val="center"/>
          </w:tcPr>
          <w:p>
            <w:pPr>
              <w:widowControl/>
              <w:spacing w:line="560" w:lineRule="exact"/>
              <w:ind w:firstLine="0" w:firstLineChars="0"/>
              <w:textAlignment w:val="center"/>
              <w:rPr>
                <w:rFonts w:hAnsi="仿宋" w:cs="仿宋"/>
                <w:color w:val="000000" w:themeColor="text1"/>
                <w:sz w:val="24"/>
                <w:szCs w:val="24"/>
              </w:rPr>
            </w:pPr>
            <w:r>
              <w:rPr>
                <w:rFonts w:hint="eastAsia" w:hAnsi="仿宋" w:cs="仿宋"/>
                <w:color w:val="000000" w:themeColor="text1"/>
                <w:kern w:val="0"/>
                <w:sz w:val="24"/>
                <w:szCs w:val="24"/>
              </w:rPr>
              <w:t>公共卫生事件应急物资</w:t>
            </w:r>
          </w:p>
        </w:tc>
        <w:tc>
          <w:tcPr>
            <w:tcW w:w="6101" w:type="dxa"/>
            <w:shd w:val="clear" w:color="auto" w:fill="auto"/>
            <w:tcMar>
              <w:top w:w="8" w:type="dxa"/>
              <w:left w:w="8" w:type="dxa"/>
              <w:right w:w="8" w:type="dxa"/>
            </w:tcMar>
            <w:vAlign w:val="center"/>
          </w:tcPr>
          <w:p>
            <w:pPr>
              <w:widowControl/>
              <w:spacing w:line="560" w:lineRule="exact"/>
              <w:ind w:firstLine="0" w:firstLineChars="0"/>
              <w:jc w:val="left"/>
              <w:textAlignment w:val="center"/>
              <w:rPr>
                <w:rFonts w:hAnsi="仿宋" w:cs="仿宋"/>
                <w:color w:val="000000" w:themeColor="text1"/>
                <w:sz w:val="24"/>
                <w:szCs w:val="24"/>
              </w:rPr>
            </w:pPr>
            <w:r>
              <w:rPr>
                <w:rFonts w:hint="eastAsia" w:hAnsi="仿宋" w:cs="仿宋"/>
                <w:color w:val="000000" w:themeColor="text1"/>
                <w:kern w:val="0"/>
                <w:sz w:val="24"/>
                <w:szCs w:val="24"/>
              </w:rPr>
              <w:t>卫生健康、发展改革、工业和信息化、应急等部门（单位）分工负责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087" w:type="dxa"/>
            <w:shd w:val="clear" w:color="auto" w:fill="auto"/>
            <w:tcMar>
              <w:top w:w="8" w:type="dxa"/>
              <w:left w:w="8" w:type="dxa"/>
              <w:right w:w="8" w:type="dxa"/>
            </w:tcMar>
            <w:vAlign w:val="center"/>
          </w:tcPr>
          <w:p>
            <w:pPr>
              <w:widowControl/>
              <w:spacing w:line="560" w:lineRule="exact"/>
              <w:ind w:firstLine="0" w:firstLineChars="0"/>
              <w:textAlignment w:val="center"/>
              <w:rPr>
                <w:rFonts w:hAnsi="仿宋" w:cs="仿宋"/>
                <w:color w:val="000000" w:themeColor="text1"/>
                <w:sz w:val="24"/>
                <w:szCs w:val="24"/>
              </w:rPr>
            </w:pPr>
            <w:r>
              <w:rPr>
                <w:rFonts w:hint="eastAsia" w:hAnsi="仿宋" w:cs="仿宋"/>
                <w:color w:val="000000" w:themeColor="text1"/>
                <w:kern w:val="0"/>
                <w:sz w:val="24"/>
                <w:szCs w:val="24"/>
              </w:rPr>
              <w:t>洪涝灾害应急物资</w:t>
            </w:r>
          </w:p>
        </w:tc>
        <w:tc>
          <w:tcPr>
            <w:tcW w:w="6101" w:type="dxa"/>
            <w:shd w:val="clear" w:color="auto" w:fill="auto"/>
            <w:tcMar>
              <w:top w:w="8" w:type="dxa"/>
              <w:left w:w="8" w:type="dxa"/>
              <w:right w:w="8" w:type="dxa"/>
            </w:tcMar>
            <w:vAlign w:val="center"/>
          </w:tcPr>
          <w:p>
            <w:pPr>
              <w:widowControl/>
              <w:spacing w:line="560" w:lineRule="exact"/>
              <w:ind w:firstLine="0" w:firstLineChars="0"/>
              <w:jc w:val="left"/>
              <w:textAlignment w:val="center"/>
              <w:rPr>
                <w:rFonts w:hAnsi="仿宋" w:cs="仿宋"/>
                <w:color w:val="000000" w:themeColor="text1"/>
                <w:sz w:val="24"/>
                <w:szCs w:val="24"/>
              </w:rPr>
            </w:pPr>
            <w:r>
              <w:rPr>
                <w:rFonts w:hint="eastAsia" w:hAnsi="仿宋" w:cs="仿宋"/>
                <w:color w:val="000000" w:themeColor="text1"/>
                <w:kern w:val="0"/>
                <w:sz w:val="24"/>
                <w:szCs w:val="24"/>
              </w:rPr>
              <w:t>水务、综合行政执法、应急等部门（单位）分工负责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087" w:type="dxa"/>
            <w:shd w:val="clear" w:color="auto" w:fill="auto"/>
            <w:tcMar>
              <w:top w:w="8" w:type="dxa"/>
              <w:left w:w="8" w:type="dxa"/>
              <w:right w:w="8" w:type="dxa"/>
            </w:tcMar>
            <w:vAlign w:val="center"/>
          </w:tcPr>
          <w:p>
            <w:pPr>
              <w:widowControl/>
              <w:spacing w:line="560" w:lineRule="exact"/>
              <w:ind w:firstLine="0" w:firstLineChars="0"/>
              <w:textAlignment w:val="center"/>
              <w:rPr>
                <w:rFonts w:hAnsi="仿宋" w:cs="仿宋"/>
                <w:color w:val="000000" w:themeColor="text1"/>
                <w:sz w:val="24"/>
                <w:szCs w:val="24"/>
              </w:rPr>
            </w:pPr>
            <w:r>
              <w:rPr>
                <w:rFonts w:hint="eastAsia" w:hAnsi="仿宋" w:cs="仿宋"/>
                <w:color w:val="000000" w:themeColor="text1"/>
                <w:kern w:val="0"/>
                <w:sz w:val="24"/>
                <w:szCs w:val="24"/>
              </w:rPr>
              <w:t>森林火灾应急物资</w:t>
            </w:r>
          </w:p>
        </w:tc>
        <w:tc>
          <w:tcPr>
            <w:tcW w:w="6101" w:type="dxa"/>
            <w:shd w:val="clear" w:color="auto" w:fill="auto"/>
            <w:tcMar>
              <w:top w:w="8" w:type="dxa"/>
              <w:left w:w="8" w:type="dxa"/>
              <w:right w:w="8" w:type="dxa"/>
            </w:tcMar>
            <w:vAlign w:val="center"/>
          </w:tcPr>
          <w:p>
            <w:pPr>
              <w:widowControl/>
              <w:spacing w:line="560" w:lineRule="exact"/>
              <w:ind w:firstLine="0" w:firstLineChars="0"/>
              <w:jc w:val="left"/>
              <w:textAlignment w:val="center"/>
              <w:rPr>
                <w:rFonts w:hAnsi="仿宋" w:cs="仿宋"/>
                <w:color w:val="000000" w:themeColor="text1"/>
                <w:sz w:val="24"/>
                <w:szCs w:val="24"/>
              </w:rPr>
            </w:pPr>
            <w:r>
              <w:rPr>
                <w:rFonts w:hint="eastAsia" w:hAnsi="仿宋" w:cs="仿宋"/>
                <w:color w:val="000000" w:themeColor="text1"/>
                <w:kern w:val="0"/>
                <w:sz w:val="24"/>
                <w:szCs w:val="24"/>
              </w:rPr>
              <w:t>自然资源、消防救援、应急等部门（单位）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087" w:type="dxa"/>
            <w:shd w:val="clear" w:color="auto" w:fill="auto"/>
            <w:tcMar>
              <w:top w:w="8" w:type="dxa"/>
              <w:left w:w="8" w:type="dxa"/>
              <w:right w:w="8" w:type="dxa"/>
            </w:tcMar>
            <w:vAlign w:val="center"/>
          </w:tcPr>
          <w:p>
            <w:pPr>
              <w:widowControl/>
              <w:spacing w:line="560" w:lineRule="exact"/>
              <w:ind w:firstLine="0" w:firstLineChars="0"/>
              <w:textAlignment w:val="center"/>
              <w:rPr>
                <w:rFonts w:hAnsi="仿宋" w:cs="仿宋"/>
                <w:color w:val="000000" w:themeColor="text1"/>
                <w:sz w:val="24"/>
                <w:szCs w:val="24"/>
              </w:rPr>
            </w:pPr>
            <w:r>
              <w:rPr>
                <w:rFonts w:hint="eastAsia" w:hAnsi="仿宋" w:cs="仿宋"/>
                <w:color w:val="000000" w:themeColor="text1"/>
                <w:kern w:val="0"/>
                <w:sz w:val="24"/>
                <w:szCs w:val="24"/>
              </w:rPr>
              <w:t>地震灾害应急物资</w:t>
            </w:r>
          </w:p>
        </w:tc>
        <w:tc>
          <w:tcPr>
            <w:tcW w:w="6101" w:type="dxa"/>
            <w:shd w:val="clear" w:color="auto" w:fill="auto"/>
            <w:tcMar>
              <w:top w:w="8" w:type="dxa"/>
              <w:left w:w="8" w:type="dxa"/>
              <w:right w:w="8" w:type="dxa"/>
            </w:tcMar>
            <w:vAlign w:val="center"/>
          </w:tcPr>
          <w:p>
            <w:pPr>
              <w:widowControl/>
              <w:spacing w:line="560" w:lineRule="exact"/>
              <w:ind w:firstLine="0" w:firstLineChars="0"/>
              <w:jc w:val="left"/>
              <w:textAlignment w:val="center"/>
              <w:rPr>
                <w:rFonts w:hAnsi="仿宋" w:cs="仿宋"/>
                <w:color w:val="000000" w:themeColor="text1"/>
                <w:sz w:val="24"/>
                <w:szCs w:val="24"/>
              </w:rPr>
            </w:pPr>
            <w:r>
              <w:rPr>
                <w:rFonts w:hint="eastAsia" w:hAnsi="仿宋" w:cs="仿宋"/>
                <w:color w:val="000000" w:themeColor="text1"/>
                <w:kern w:val="0"/>
                <w:sz w:val="24"/>
                <w:szCs w:val="24"/>
              </w:rPr>
              <w:t>应急、发展改革、消防救援等部门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087" w:type="dxa"/>
            <w:shd w:val="clear" w:color="auto" w:fill="auto"/>
            <w:tcMar>
              <w:top w:w="8" w:type="dxa"/>
              <w:left w:w="8" w:type="dxa"/>
              <w:right w:w="8" w:type="dxa"/>
            </w:tcMar>
            <w:vAlign w:val="center"/>
          </w:tcPr>
          <w:p>
            <w:pPr>
              <w:widowControl/>
              <w:spacing w:line="560" w:lineRule="exact"/>
              <w:ind w:firstLine="0" w:firstLineChars="0"/>
              <w:textAlignment w:val="center"/>
              <w:rPr>
                <w:rFonts w:hAnsi="仿宋" w:cs="仿宋"/>
                <w:color w:val="000000"/>
                <w:sz w:val="24"/>
                <w:szCs w:val="24"/>
              </w:rPr>
            </w:pPr>
            <w:r>
              <w:rPr>
                <w:rFonts w:hint="eastAsia" w:hAnsi="仿宋" w:cs="仿宋"/>
                <w:color w:val="000000"/>
                <w:kern w:val="0"/>
                <w:sz w:val="24"/>
                <w:szCs w:val="24"/>
              </w:rPr>
              <w:t>危险化学品事故应急物资</w:t>
            </w:r>
          </w:p>
        </w:tc>
        <w:tc>
          <w:tcPr>
            <w:tcW w:w="6101" w:type="dxa"/>
            <w:shd w:val="clear" w:color="auto" w:fill="auto"/>
            <w:tcMar>
              <w:top w:w="8" w:type="dxa"/>
              <w:left w:w="8" w:type="dxa"/>
              <w:right w:w="8" w:type="dxa"/>
            </w:tcMar>
            <w:vAlign w:val="center"/>
          </w:tcPr>
          <w:p>
            <w:pPr>
              <w:widowControl/>
              <w:spacing w:line="560" w:lineRule="exact"/>
              <w:ind w:firstLine="0" w:firstLineChars="0"/>
              <w:jc w:val="left"/>
              <w:textAlignment w:val="center"/>
              <w:rPr>
                <w:rFonts w:hAnsi="仿宋" w:cs="仿宋"/>
                <w:color w:val="000000"/>
                <w:sz w:val="24"/>
                <w:szCs w:val="24"/>
              </w:rPr>
            </w:pPr>
            <w:r>
              <w:rPr>
                <w:rFonts w:hint="eastAsia" w:hAnsi="仿宋" w:cs="仿宋"/>
                <w:color w:val="000000"/>
                <w:kern w:val="0"/>
                <w:sz w:val="24"/>
                <w:szCs w:val="24"/>
              </w:rPr>
              <w:t>应急、生态环境、发展改革（能源）部门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087" w:type="dxa"/>
            <w:shd w:val="clear" w:color="auto" w:fill="auto"/>
            <w:tcMar>
              <w:top w:w="8" w:type="dxa"/>
              <w:left w:w="8" w:type="dxa"/>
              <w:right w:w="8" w:type="dxa"/>
            </w:tcMar>
            <w:vAlign w:val="center"/>
          </w:tcPr>
          <w:p>
            <w:pPr>
              <w:widowControl/>
              <w:spacing w:line="560" w:lineRule="exact"/>
              <w:ind w:firstLine="0" w:firstLineChars="0"/>
              <w:textAlignment w:val="center"/>
              <w:rPr>
                <w:rFonts w:hAnsi="仿宋" w:cs="仿宋"/>
                <w:color w:val="000000"/>
                <w:sz w:val="24"/>
                <w:szCs w:val="24"/>
              </w:rPr>
            </w:pPr>
            <w:r>
              <w:rPr>
                <w:rFonts w:hint="eastAsia" w:hAnsi="仿宋" w:cs="仿宋"/>
                <w:color w:val="000000"/>
                <w:kern w:val="0"/>
                <w:sz w:val="24"/>
                <w:szCs w:val="24"/>
              </w:rPr>
              <w:t>消防救援应急物资</w:t>
            </w:r>
          </w:p>
        </w:tc>
        <w:tc>
          <w:tcPr>
            <w:tcW w:w="6101" w:type="dxa"/>
            <w:shd w:val="clear" w:color="auto" w:fill="auto"/>
            <w:tcMar>
              <w:top w:w="8" w:type="dxa"/>
              <w:left w:w="8" w:type="dxa"/>
              <w:right w:w="8" w:type="dxa"/>
            </w:tcMar>
            <w:vAlign w:val="center"/>
          </w:tcPr>
          <w:p>
            <w:pPr>
              <w:widowControl/>
              <w:spacing w:line="560" w:lineRule="exact"/>
              <w:ind w:firstLine="0" w:firstLineChars="0"/>
              <w:jc w:val="left"/>
              <w:textAlignment w:val="center"/>
              <w:rPr>
                <w:rFonts w:hAnsi="仿宋" w:cs="仿宋"/>
                <w:color w:val="000000"/>
                <w:sz w:val="24"/>
                <w:szCs w:val="24"/>
              </w:rPr>
            </w:pPr>
            <w:r>
              <w:rPr>
                <w:rFonts w:hint="eastAsia" w:hAnsi="仿宋" w:cs="仿宋"/>
                <w:color w:val="000000"/>
                <w:kern w:val="0"/>
                <w:sz w:val="24"/>
                <w:szCs w:val="24"/>
              </w:rPr>
              <w:t>综合性消防救援力量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087" w:type="dxa"/>
            <w:shd w:val="clear" w:color="auto" w:fill="auto"/>
            <w:tcMar>
              <w:top w:w="8" w:type="dxa"/>
              <w:left w:w="8" w:type="dxa"/>
              <w:right w:w="8" w:type="dxa"/>
            </w:tcMar>
            <w:vAlign w:val="center"/>
          </w:tcPr>
          <w:p>
            <w:pPr>
              <w:widowControl/>
              <w:spacing w:line="560" w:lineRule="exact"/>
              <w:ind w:firstLine="0" w:firstLineChars="0"/>
              <w:textAlignment w:val="center"/>
              <w:rPr>
                <w:rFonts w:hAnsi="仿宋" w:cs="仿宋"/>
                <w:color w:val="000000"/>
                <w:sz w:val="24"/>
                <w:szCs w:val="24"/>
              </w:rPr>
            </w:pPr>
            <w:r>
              <w:rPr>
                <w:rFonts w:hint="eastAsia" w:hAnsi="仿宋" w:cs="仿宋"/>
                <w:color w:val="000000"/>
                <w:kern w:val="0"/>
                <w:sz w:val="24"/>
                <w:szCs w:val="24"/>
              </w:rPr>
              <w:t>食品药品安全事件应急物资</w:t>
            </w:r>
          </w:p>
        </w:tc>
        <w:tc>
          <w:tcPr>
            <w:tcW w:w="6101" w:type="dxa"/>
            <w:shd w:val="clear" w:color="auto" w:fill="auto"/>
            <w:tcMar>
              <w:top w:w="8" w:type="dxa"/>
              <w:left w:w="8" w:type="dxa"/>
              <w:right w:w="8" w:type="dxa"/>
            </w:tcMar>
            <w:vAlign w:val="center"/>
          </w:tcPr>
          <w:p>
            <w:pPr>
              <w:widowControl/>
              <w:spacing w:line="560" w:lineRule="exact"/>
              <w:ind w:firstLine="0" w:firstLineChars="0"/>
              <w:jc w:val="left"/>
              <w:textAlignment w:val="center"/>
              <w:rPr>
                <w:rFonts w:hAnsi="仿宋" w:cs="仿宋"/>
                <w:color w:val="000000"/>
                <w:sz w:val="24"/>
                <w:szCs w:val="24"/>
              </w:rPr>
            </w:pPr>
            <w:r>
              <w:rPr>
                <w:rFonts w:hint="eastAsia" w:hAnsi="仿宋" w:cs="仿宋"/>
                <w:color w:val="000000"/>
                <w:kern w:val="0"/>
                <w:sz w:val="24"/>
                <w:szCs w:val="24"/>
              </w:rPr>
              <w:t>市场监管、工业和信息化、卫生健康部门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087" w:type="dxa"/>
            <w:shd w:val="clear" w:color="auto" w:fill="auto"/>
            <w:tcMar>
              <w:top w:w="8" w:type="dxa"/>
              <w:left w:w="8" w:type="dxa"/>
              <w:right w:w="8" w:type="dxa"/>
            </w:tcMar>
            <w:vAlign w:val="center"/>
          </w:tcPr>
          <w:p>
            <w:pPr>
              <w:widowControl/>
              <w:spacing w:line="560" w:lineRule="exact"/>
              <w:ind w:firstLine="0" w:firstLineChars="0"/>
              <w:textAlignment w:val="center"/>
              <w:rPr>
                <w:rFonts w:hAnsi="仿宋" w:cs="仿宋"/>
                <w:color w:val="000000"/>
                <w:sz w:val="24"/>
                <w:szCs w:val="24"/>
              </w:rPr>
            </w:pPr>
            <w:r>
              <w:rPr>
                <w:rFonts w:hint="eastAsia" w:hAnsi="仿宋" w:cs="仿宋"/>
                <w:color w:val="000000"/>
                <w:kern w:val="0"/>
                <w:sz w:val="24"/>
                <w:szCs w:val="24"/>
              </w:rPr>
              <w:t>环境事件应急物资</w:t>
            </w:r>
          </w:p>
        </w:tc>
        <w:tc>
          <w:tcPr>
            <w:tcW w:w="6101" w:type="dxa"/>
            <w:shd w:val="clear" w:color="auto" w:fill="auto"/>
            <w:tcMar>
              <w:top w:w="8" w:type="dxa"/>
              <w:left w:w="8" w:type="dxa"/>
              <w:right w:w="8" w:type="dxa"/>
            </w:tcMar>
            <w:vAlign w:val="center"/>
          </w:tcPr>
          <w:p>
            <w:pPr>
              <w:widowControl/>
              <w:spacing w:line="560" w:lineRule="exact"/>
              <w:ind w:firstLine="0" w:firstLineChars="0"/>
              <w:jc w:val="left"/>
              <w:textAlignment w:val="center"/>
              <w:rPr>
                <w:rFonts w:hAnsi="仿宋" w:cs="仿宋"/>
                <w:color w:val="000000"/>
                <w:sz w:val="24"/>
                <w:szCs w:val="24"/>
              </w:rPr>
            </w:pPr>
            <w:r>
              <w:rPr>
                <w:rFonts w:hint="eastAsia" w:hAnsi="仿宋" w:cs="仿宋"/>
                <w:color w:val="000000"/>
                <w:kern w:val="0"/>
                <w:sz w:val="24"/>
                <w:szCs w:val="24"/>
              </w:rPr>
              <w:t>生态环境等部门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087" w:type="dxa"/>
            <w:shd w:val="clear" w:color="auto" w:fill="auto"/>
            <w:tcMar>
              <w:top w:w="8" w:type="dxa"/>
              <w:left w:w="8" w:type="dxa"/>
              <w:right w:w="8" w:type="dxa"/>
            </w:tcMar>
            <w:vAlign w:val="center"/>
          </w:tcPr>
          <w:p>
            <w:pPr>
              <w:widowControl/>
              <w:spacing w:line="560" w:lineRule="exact"/>
              <w:ind w:firstLine="0" w:firstLineChars="0"/>
              <w:textAlignment w:val="center"/>
              <w:rPr>
                <w:rFonts w:hAnsi="仿宋" w:cs="仿宋"/>
                <w:color w:val="000000"/>
                <w:sz w:val="24"/>
                <w:szCs w:val="24"/>
              </w:rPr>
            </w:pPr>
            <w:r>
              <w:rPr>
                <w:rFonts w:hint="eastAsia" w:hAnsi="仿宋" w:cs="仿宋"/>
                <w:color w:val="000000"/>
                <w:kern w:val="0"/>
                <w:sz w:val="24"/>
                <w:szCs w:val="24"/>
              </w:rPr>
              <w:t>生物灾害应急物资</w:t>
            </w:r>
          </w:p>
        </w:tc>
        <w:tc>
          <w:tcPr>
            <w:tcW w:w="6101" w:type="dxa"/>
            <w:shd w:val="clear" w:color="auto" w:fill="auto"/>
            <w:tcMar>
              <w:top w:w="8" w:type="dxa"/>
              <w:left w:w="8" w:type="dxa"/>
              <w:right w:w="8" w:type="dxa"/>
            </w:tcMar>
            <w:vAlign w:val="center"/>
          </w:tcPr>
          <w:p>
            <w:pPr>
              <w:widowControl/>
              <w:spacing w:line="560" w:lineRule="exact"/>
              <w:ind w:firstLine="0" w:firstLineChars="0"/>
              <w:jc w:val="left"/>
              <w:textAlignment w:val="center"/>
              <w:rPr>
                <w:rFonts w:hAnsi="仿宋" w:cs="仿宋"/>
                <w:color w:val="000000"/>
                <w:sz w:val="24"/>
                <w:szCs w:val="24"/>
              </w:rPr>
            </w:pPr>
            <w:r>
              <w:rPr>
                <w:rFonts w:hint="eastAsia" w:hAnsi="仿宋" w:cs="仿宋"/>
                <w:color w:val="000000"/>
                <w:kern w:val="0"/>
                <w:sz w:val="24"/>
                <w:szCs w:val="24"/>
              </w:rPr>
              <w:t>农业农村（畜牧兽医）、自然资源部门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087" w:type="dxa"/>
            <w:shd w:val="clear" w:color="auto" w:fill="auto"/>
            <w:tcMar>
              <w:top w:w="8" w:type="dxa"/>
              <w:left w:w="8" w:type="dxa"/>
              <w:right w:w="8" w:type="dxa"/>
            </w:tcMar>
            <w:vAlign w:val="center"/>
          </w:tcPr>
          <w:p>
            <w:pPr>
              <w:widowControl/>
              <w:spacing w:line="560" w:lineRule="exact"/>
              <w:ind w:firstLine="0" w:firstLineChars="0"/>
              <w:textAlignment w:val="center"/>
              <w:rPr>
                <w:rFonts w:hAnsi="仿宋" w:cs="仿宋"/>
                <w:color w:val="000000"/>
                <w:sz w:val="24"/>
                <w:szCs w:val="24"/>
              </w:rPr>
            </w:pPr>
            <w:r>
              <w:rPr>
                <w:rFonts w:hint="eastAsia" w:hAnsi="仿宋" w:cs="仿宋"/>
                <w:color w:val="000000"/>
                <w:kern w:val="0"/>
                <w:sz w:val="24"/>
                <w:szCs w:val="24"/>
              </w:rPr>
              <w:t>交通运输事故应急物资</w:t>
            </w:r>
          </w:p>
        </w:tc>
        <w:tc>
          <w:tcPr>
            <w:tcW w:w="6101" w:type="dxa"/>
            <w:shd w:val="clear" w:color="auto" w:fill="auto"/>
            <w:tcMar>
              <w:top w:w="8" w:type="dxa"/>
              <w:left w:w="8" w:type="dxa"/>
              <w:right w:w="8" w:type="dxa"/>
            </w:tcMar>
            <w:vAlign w:val="center"/>
          </w:tcPr>
          <w:p>
            <w:pPr>
              <w:widowControl/>
              <w:spacing w:line="560" w:lineRule="exact"/>
              <w:ind w:firstLine="0" w:firstLineChars="0"/>
              <w:jc w:val="left"/>
              <w:textAlignment w:val="center"/>
              <w:rPr>
                <w:rFonts w:hAnsi="仿宋" w:cs="仿宋"/>
                <w:color w:val="000000"/>
                <w:sz w:val="24"/>
                <w:szCs w:val="24"/>
              </w:rPr>
            </w:pPr>
            <w:r>
              <w:rPr>
                <w:rFonts w:hint="eastAsia" w:hAnsi="仿宋" w:cs="仿宋"/>
                <w:color w:val="000000"/>
                <w:kern w:val="0"/>
                <w:sz w:val="24"/>
                <w:szCs w:val="24"/>
              </w:rPr>
              <w:t>交通运输部门、公安机关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087" w:type="dxa"/>
            <w:shd w:val="clear" w:color="auto" w:fill="auto"/>
            <w:tcMar>
              <w:top w:w="8" w:type="dxa"/>
              <w:left w:w="8" w:type="dxa"/>
              <w:right w:w="8" w:type="dxa"/>
            </w:tcMar>
            <w:vAlign w:val="center"/>
          </w:tcPr>
          <w:p>
            <w:pPr>
              <w:widowControl/>
              <w:spacing w:line="560" w:lineRule="exact"/>
              <w:ind w:firstLine="0" w:firstLineChars="0"/>
              <w:textAlignment w:val="center"/>
              <w:rPr>
                <w:rFonts w:hAnsi="仿宋" w:cs="仿宋"/>
                <w:color w:val="000000"/>
                <w:sz w:val="24"/>
                <w:szCs w:val="24"/>
              </w:rPr>
            </w:pPr>
            <w:r>
              <w:rPr>
                <w:rFonts w:hint="eastAsia" w:hAnsi="仿宋" w:cs="仿宋"/>
                <w:color w:val="000000"/>
                <w:kern w:val="0"/>
                <w:sz w:val="24"/>
                <w:szCs w:val="24"/>
              </w:rPr>
              <w:t>电力事故应急物资</w:t>
            </w:r>
          </w:p>
        </w:tc>
        <w:tc>
          <w:tcPr>
            <w:tcW w:w="6101" w:type="dxa"/>
            <w:shd w:val="clear" w:color="auto" w:fill="auto"/>
            <w:tcMar>
              <w:top w:w="8" w:type="dxa"/>
              <w:left w:w="8" w:type="dxa"/>
              <w:right w:w="8" w:type="dxa"/>
            </w:tcMar>
            <w:vAlign w:val="center"/>
          </w:tcPr>
          <w:p>
            <w:pPr>
              <w:widowControl/>
              <w:spacing w:line="560" w:lineRule="exact"/>
              <w:ind w:firstLine="0" w:firstLineChars="0"/>
              <w:jc w:val="left"/>
              <w:textAlignment w:val="center"/>
              <w:rPr>
                <w:rFonts w:hAnsi="仿宋" w:cs="仿宋"/>
                <w:color w:val="000000"/>
                <w:sz w:val="24"/>
                <w:szCs w:val="24"/>
              </w:rPr>
            </w:pPr>
            <w:r>
              <w:rPr>
                <w:rFonts w:hint="eastAsia" w:hAnsi="仿宋" w:cs="仿宋"/>
                <w:color w:val="000000"/>
                <w:kern w:val="0"/>
                <w:sz w:val="24"/>
                <w:szCs w:val="24"/>
              </w:rPr>
              <w:t>国家电网兰山客户服务中心、发展改革（能源）部门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087" w:type="dxa"/>
            <w:shd w:val="clear" w:color="auto" w:fill="auto"/>
            <w:tcMar>
              <w:top w:w="8" w:type="dxa"/>
              <w:left w:w="8" w:type="dxa"/>
              <w:right w:w="8" w:type="dxa"/>
            </w:tcMar>
            <w:vAlign w:val="center"/>
          </w:tcPr>
          <w:p>
            <w:pPr>
              <w:widowControl/>
              <w:spacing w:line="560" w:lineRule="exact"/>
              <w:ind w:firstLine="0" w:firstLineChars="0"/>
              <w:textAlignment w:val="center"/>
              <w:rPr>
                <w:rFonts w:hAnsi="仿宋" w:cs="仿宋"/>
                <w:color w:val="000000"/>
                <w:sz w:val="24"/>
                <w:szCs w:val="24"/>
              </w:rPr>
            </w:pPr>
            <w:r>
              <w:rPr>
                <w:rFonts w:hint="eastAsia" w:hAnsi="仿宋" w:cs="仿宋"/>
                <w:color w:val="000000"/>
                <w:kern w:val="0"/>
                <w:sz w:val="24"/>
                <w:szCs w:val="24"/>
              </w:rPr>
              <w:t>建筑安全事故应急物资</w:t>
            </w:r>
          </w:p>
        </w:tc>
        <w:tc>
          <w:tcPr>
            <w:tcW w:w="6101" w:type="dxa"/>
            <w:shd w:val="clear" w:color="auto" w:fill="auto"/>
            <w:tcMar>
              <w:top w:w="8" w:type="dxa"/>
              <w:left w:w="8" w:type="dxa"/>
              <w:right w:w="8" w:type="dxa"/>
            </w:tcMar>
            <w:vAlign w:val="center"/>
          </w:tcPr>
          <w:p>
            <w:pPr>
              <w:widowControl/>
              <w:spacing w:line="560" w:lineRule="exact"/>
              <w:ind w:firstLine="0" w:firstLineChars="0"/>
              <w:jc w:val="left"/>
              <w:textAlignment w:val="center"/>
              <w:rPr>
                <w:rFonts w:hAnsi="仿宋" w:cs="仿宋"/>
                <w:color w:val="000000"/>
                <w:sz w:val="24"/>
                <w:szCs w:val="24"/>
              </w:rPr>
            </w:pPr>
            <w:r>
              <w:rPr>
                <w:rFonts w:hint="eastAsia" w:hAnsi="仿宋" w:cs="仿宋"/>
                <w:color w:val="000000"/>
                <w:kern w:val="0"/>
                <w:sz w:val="24"/>
                <w:szCs w:val="24"/>
              </w:rPr>
              <w:t>消防救援、住房和城乡建设等部门（单位）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087" w:type="dxa"/>
            <w:shd w:val="clear" w:color="auto" w:fill="auto"/>
            <w:tcMar>
              <w:top w:w="8" w:type="dxa"/>
              <w:left w:w="8" w:type="dxa"/>
              <w:right w:w="8" w:type="dxa"/>
            </w:tcMar>
            <w:vAlign w:val="center"/>
          </w:tcPr>
          <w:p>
            <w:pPr>
              <w:widowControl/>
              <w:spacing w:line="560" w:lineRule="exact"/>
              <w:ind w:firstLine="0" w:firstLineChars="0"/>
              <w:textAlignment w:val="center"/>
              <w:rPr>
                <w:rFonts w:hAnsi="仿宋" w:cs="仿宋"/>
                <w:color w:val="000000"/>
                <w:kern w:val="0"/>
                <w:sz w:val="24"/>
                <w:szCs w:val="24"/>
              </w:rPr>
            </w:pPr>
            <w:r>
              <w:rPr>
                <w:rFonts w:hint="eastAsia" w:hAnsi="仿宋" w:cs="仿宋"/>
                <w:color w:val="000000"/>
                <w:kern w:val="0"/>
                <w:sz w:val="24"/>
                <w:szCs w:val="24"/>
              </w:rPr>
              <w:t>大规模网络瘫痪</w:t>
            </w:r>
          </w:p>
        </w:tc>
        <w:tc>
          <w:tcPr>
            <w:tcW w:w="6101" w:type="dxa"/>
            <w:shd w:val="clear" w:color="auto" w:fill="auto"/>
            <w:tcMar>
              <w:top w:w="8" w:type="dxa"/>
              <w:left w:w="8" w:type="dxa"/>
              <w:right w:w="8" w:type="dxa"/>
            </w:tcMar>
            <w:vAlign w:val="center"/>
          </w:tcPr>
          <w:p>
            <w:pPr>
              <w:widowControl/>
              <w:spacing w:line="560" w:lineRule="exact"/>
              <w:ind w:firstLine="0" w:firstLineChars="0"/>
              <w:jc w:val="left"/>
              <w:textAlignment w:val="center"/>
              <w:rPr>
                <w:rFonts w:hAnsi="仿宋" w:cs="仿宋"/>
                <w:color w:val="000000"/>
                <w:kern w:val="0"/>
                <w:sz w:val="24"/>
                <w:szCs w:val="24"/>
              </w:rPr>
            </w:pPr>
            <w:r>
              <w:rPr>
                <w:rFonts w:hint="eastAsia" w:hAnsi="仿宋" w:cs="仿宋"/>
                <w:color w:val="000000" w:themeColor="text1"/>
                <w:kern w:val="0"/>
                <w:sz w:val="24"/>
                <w:szCs w:val="24"/>
              </w:rPr>
              <w:t>区内各基础电信运营企业等单位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087" w:type="dxa"/>
            <w:shd w:val="clear" w:color="auto" w:fill="auto"/>
            <w:tcMar>
              <w:top w:w="8" w:type="dxa"/>
              <w:left w:w="8" w:type="dxa"/>
              <w:right w:w="8" w:type="dxa"/>
            </w:tcMar>
            <w:vAlign w:val="center"/>
          </w:tcPr>
          <w:p>
            <w:pPr>
              <w:widowControl/>
              <w:spacing w:line="560" w:lineRule="exact"/>
              <w:ind w:firstLine="0" w:firstLineChars="0"/>
              <w:textAlignment w:val="center"/>
              <w:rPr>
                <w:rFonts w:hAnsi="仿宋" w:cs="仿宋"/>
                <w:color w:val="000000"/>
                <w:sz w:val="24"/>
                <w:szCs w:val="24"/>
              </w:rPr>
            </w:pPr>
            <w:r>
              <w:rPr>
                <w:rFonts w:hint="eastAsia" w:hAnsi="仿宋" w:cs="仿宋"/>
                <w:color w:val="000000"/>
                <w:kern w:val="0"/>
                <w:sz w:val="24"/>
                <w:szCs w:val="24"/>
              </w:rPr>
              <w:t>大规模群体性事件应急物资</w:t>
            </w:r>
          </w:p>
        </w:tc>
        <w:tc>
          <w:tcPr>
            <w:tcW w:w="6101" w:type="dxa"/>
            <w:shd w:val="clear" w:color="auto" w:fill="auto"/>
            <w:tcMar>
              <w:top w:w="8" w:type="dxa"/>
              <w:left w:w="8" w:type="dxa"/>
              <w:right w:w="8" w:type="dxa"/>
            </w:tcMar>
            <w:vAlign w:val="center"/>
          </w:tcPr>
          <w:p>
            <w:pPr>
              <w:widowControl/>
              <w:spacing w:line="560" w:lineRule="exact"/>
              <w:ind w:firstLine="0" w:firstLineChars="0"/>
              <w:jc w:val="left"/>
              <w:textAlignment w:val="center"/>
              <w:rPr>
                <w:rFonts w:hAnsi="仿宋" w:cs="仿宋"/>
                <w:color w:val="000000"/>
                <w:sz w:val="24"/>
                <w:szCs w:val="24"/>
              </w:rPr>
            </w:pPr>
            <w:r>
              <w:rPr>
                <w:rFonts w:hint="eastAsia" w:hAnsi="仿宋" w:cs="仿宋"/>
                <w:color w:val="000000"/>
                <w:kern w:val="0"/>
                <w:sz w:val="24"/>
                <w:szCs w:val="24"/>
              </w:rPr>
              <w:t>公安机关、发展改革部门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9188" w:type="dxa"/>
            <w:gridSpan w:val="2"/>
            <w:shd w:val="clear" w:color="auto" w:fill="auto"/>
            <w:tcMar>
              <w:top w:w="8" w:type="dxa"/>
              <w:left w:w="8" w:type="dxa"/>
              <w:right w:w="8" w:type="dxa"/>
            </w:tcMar>
            <w:vAlign w:val="center"/>
          </w:tcPr>
          <w:p>
            <w:pPr>
              <w:widowControl/>
              <w:spacing w:line="560" w:lineRule="exact"/>
              <w:ind w:firstLine="0" w:firstLineChars="0"/>
              <w:textAlignment w:val="center"/>
              <w:rPr>
                <w:rFonts w:ascii="Times New Roman" w:hAnsi="Times New Roman" w:eastAsia="仿宋_GB2312" w:cs="Times New Roman"/>
                <w:bCs/>
                <w:kern w:val="0"/>
                <w:sz w:val="32"/>
                <w:szCs w:val="32"/>
              </w:rPr>
            </w:pPr>
            <w:r>
              <w:rPr>
                <w:rFonts w:hint="eastAsia" w:hAnsi="仿宋" w:cs="仿宋"/>
                <w:color w:val="000000"/>
                <w:kern w:val="0"/>
                <w:sz w:val="24"/>
                <w:szCs w:val="24"/>
              </w:rPr>
              <w:t>镇街道区直</w:t>
            </w:r>
            <w:r>
              <w:rPr>
                <w:rFonts w:hAnsi="仿宋" w:cs="仿宋"/>
                <w:color w:val="000000"/>
                <w:kern w:val="0"/>
                <w:sz w:val="24"/>
                <w:szCs w:val="24"/>
              </w:rPr>
              <w:t>相关部门（单位）按职责承担应急物资储备保障任务，根据应急物资储备品种、规模制定本部门（单位）应急物资储备制度。本部门无储备仓库的，可与</w:t>
            </w:r>
            <w:r>
              <w:rPr>
                <w:rFonts w:hint="eastAsia" w:hAnsi="仿宋" w:cs="仿宋"/>
                <w:color w:val="000000"/>
                <w:kern w:val="0"/>
                <w:sz w:val="24"/>
                <w:szCs w:val="24"/>
              </w:rPr>
              <w:t>发展改革</w:t>
            </w:r>
            <w:r>
              <w:rPr>
                <w:rFonts w:hAnsi="仿宋" w:cs="仿宋"/>
                <w:color w:val="000000"/>
                <w:kern w:val="0"/>
                <w:sz w:val="24"/>
                <w:szCs w:val="24"/>
              </w:rPr>
              <w:t>部门协商代储。</w:t>
            </w:r>
          </w:p>
        </w:tc>
      </w:tr>
    </w:tbl>
    <w:p>
      <w:pPr>
        <w:spacing w:line="560" w:lineRule="exact"/>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74" w:right="1474" w:bottom="1474" w:left="1474" w:header="851" w:footer="1361"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9501714"/>
      <w:docPartObj>
        <w:docPartGallery w:val="AutoText"/>
      </w:docPartObj>
    </w:sdtPr>
    <w:sdtContent>
      <w:p>
        <w:pPr>
          <w:pStyle w:val="6"/>
          <w:ind w:right="360" w:firstLine="0" w:firstLineChars="0"/>
          <w:jc w:val="center"/>
          <w:rPr>
            <w:rStyle w:val="10"/>
            <w:rFonts w:asciiTheme="minorEastAsia" w:hAnsiTheme="minorEastAsia" w:eastAsiaTheme="minorEastAsia"/>
            <w:sz w:val="28"/>
            <w:szCs w:val="28"/>
          </w:rPr>
        </w:pPr>
        <w:r>
          <w:rPr>
            <w:rStyle w:val="10"/>
            <w:rFonts w:hint="eastAsia" w:asciiTheme="minorEastAsia" w:hAnsiTheme="minorEastAsia" w:eastAsiaTheme="minorEastAsia"/>
            <w:sz w:val="28"/>
            <w:szCs w:val="28"/>
          </w:rPr>
          <w:t xml:space="preserve">— </w:t>
        </w:r>
        <w:r>
          <w:rPr>
            <w:rStyle w:val="10"/>
            <w:rFonts w:asciiTheme="minorEastAsia" w:hAnsiTheme="minorEastAsia" w:eastAsiaTheme="minorEastAsia"/>
            <w:sz w:val="28"/>
            <w:szCs w:val="28"/>
          </w:rPr>
          <w:fldChar w:fldCharType="begin"/>
        </w:r>
        <w:r>
          <w:rPr>
            <w:rStyle w:val="10"/>
            <w:rFonts w:asciiTheme="minorEastAsia" w:hAnsiTheme="minorEastAsia" w:eastAsiaTheme="minorEastAsia"/>
            <w:sz w:val="28"/>
            <w:szCs w:val="28"/>
          </w:rPr>
          <w:instrText xml:space="preserve">PAGE  </w:instrText>
        </w:r>
        <w:r>
          <w:rPr>
            <w:rStyle w:val="10"/>
            <w:rFonts w:asciiTheme="minorEastAsia" w:hAnsiTheme="minorEastAsia" w:eastAsiaTheme="minorEastAsia"/>
            <w:sz w:val="28"/>
            <w:szCs w:val="28"/>
          </w:rPr>
          <w:fldChar w:fldCharType="separate"/>
        </w:r>
        <w:r>
          <w:rPr>
            <w:rStyle w:val="10"/>
            <w:rFonts w:asciiTheme="minorEastAsia" w:hAnsiTheme="minorEastAsia" w:eastAsiaTheme="minorEastAsia"/>
            <w:sz w:val="28"/>
            <w:szCs w:val="28"/>
          </w:rPr>
          <w:t>14</w:t>
        </w:r>
        <w:r>
          <w:rPr>
            <w:rStyle w:val="10"/>
            <w:rFonts w:asciiTheme="minorEastAsia" w:hAnsiTheme="minorEastAsia" w:eastAsiaTheme="minorEastAsia"/>
            <w:sz w:val="28"/>
            <w:szCs w:val="28"/>
          </w:rPr>
          <w:fldChar w:fldCharType="end"/>
        </w:r>
        <w:r>
          <w:rPr>
            <w:rStyle w:val="10"/>
            <w:rFonts w:hint="eastAsia" w:asciiTheme="minorEastAsia" w:hAnsiTheme="minorEastAsia" w:eastAsiaTheme="minorEastAsia"/>
            <w:sz w:val="28"/>
            <w:szCs w:val="28"/>
          </w:rPr>
          <w:t xml:space="preserve"> —</w:t>
        </w:r>
      </w:p>
      <w:p>
        <w:pPr>
          <w:pStyle w:val="6"/>
          <w:ind w:left="1080" w:right="360" w:firstLine="0" w:firstLineChars="0"/>
          <w:jc w:val="right"/>
        </w:pP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rPr>
        <w:rStyle w:val="10"/>
        <w:rFonts w:asciiTheme="minorEastAsia" w:hAnsiTheme="minorEastAsia" w:eastAsiaTheme="minorEastAsia"/>
        <w:sz w:val="28"/>
        <w:szCs w:val="28"/>
      </w:rPr>
    </w:pPr>
    <w:r>
      <w:rPr>
        <w:rStyle w:val="10"/>
        <w:rFonts w:hint="eastAsia" w:asciiTheme="minorEastAsia" w:hAnsiTheme="minorEastAsia" w:eastAsiaTheme="minorEastAsia"/>
        <w:sz w:val="28"/>
        <w:szCs w:val="28"/>
      </w:rPr>
      <w:t xml:space="preserve">— </w:t>
    </w:r>
    <w:r>
      <w:rPr>
        <w:rStyle w:val="10"/>
        <w:rFonts w:asciiTheme="minorEastAsia" w:hAnsiTheme="minorEastAsia" w:eastAsiaTheme="minorEastAsia"/>
        <w:sz w:val="28"/>
        <w:szCs w:val="28"/>
      </w:rPr>
      <w:fldChar w:fldCharType="begin"/>
    </w:r>
    <w:r>
      <w:rPr>
        <w:rStyle w:val="10"/>
        <w:rFonts w:asciiTheme="minorEastAsia" w:hAnsiTheme="minorEastAsia" w:eastAsiaTheme="minorEastAsia"/>
        <w:sz w:val="28"/>
        <w:szCs w:val="28"/>
      </w:rPr>
      <w:instrText xml:space="preserve">PAGE  </w:instrText>
    </w:r>
    <w:r>
      <w:rPr>
        <w:rStyle w:val="10"/>
        <w:rFonts w:asciiTheme="minorEastAsia" w:hAnsiTheme="minorEastAsia" w:eastAsiaTheme="minorEastAsia"/>
        <w:sz w:val="28"/>
        <w:szCs w:val="28"/>
      </w:rPr>
      <w:fldChar w:fldCharType="separate"/>
    </w:r>
    <w:r>
      <w:rPr>
        <w:rStyle w:val="10"/>
        <w:rFonts w:asciiTheme="minorEastAsia" w:hAnsiTheme="minorEastAsia" w:eastAsiaTheme="minorEastAsia"/>
        <w:sz w:val="28"/>
        <w:szCs w:val="28"/>
      </w:rPr>
      <w:t>2</w:t>
    </w:r>
    <w:r>
      <w:rPr>
        <w:rStyle w:val="10"/>
        <w:rFonts w:asciiTheme="minorEastAsia" w:hAnsiTheme="minorEastAsia" w:eastAsiaTheme="minorEastAsia"/>
        <w:sz w:val="28"/>
        <w:szCs w:val="28"/>
      </w:rPr>
      <w:fldChar w:fldCharType="end"/>
    </w:r>
    <w:r>
      <w:rPr>
        <w:rStyle w:val="10"/>
        <w:rFonts w:hint="eastAsia" w:asciiTheme="minorEastAsia" w:hAnsiTheme="minorEastAsia" w:eastAsiaTheme="minorEastAsia"/>
        <w:sz w:val="28"/>
        <w:szCs w:val="28"/>
      </w:rPr>
      <w:t xml:space="preserve"> —</w:t>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xMmQwNDQzMmUyNzcyZjM0YmRmY2ZiOWNhYWMyOTEifQ=="/>
  </w:docVars>
  <w:rsids>
    <w:rsidRoot w:val="0062256F"/>
    <w:rsid w:val="000002F8"/>
    <w:rsid w:val="00000CED"/>
    <w:rsid w:val="000010FA"/>
    <w:rsid w:val="000102D1"/>
    <w:rsid w:val="00010B33"/>
    <w:rsid w:val="00011127"/>
    <w:rsid w:val="00013FC0"/>
    <w:rsid w:val="00014CC8"/>
    <w:rsid w:val="00017F7F"/>
    <w:rsid w:val="00023C9C"/>
    <w:rsid w:val="00024897"/>
    <w:rsid w:val="000277BA"/>
    <w:rsid w:val="00027CE8"/>
    <w:rsid w:val="000315EB"/>
    <w:rsid w:val="00033558"/>
    <w:rsid w:val="00034912"/>
    <w:rsid w:val="00035884"/>
    <w:rsid w:val="00036412"/>
    <w:rsid w:val="000369B7"/>
    <w:rsid w:val="00037673"/>
    <w:rsid w:val="000402AE"/>
    <w:rsid w:val="00042956"/>
    <w:rsid w:val="00045F7F"/>
    <w:rsid w:val="000467B8"/>
    <w:rsid w:val="000512AD"/>
    <w:rsid w:val="000516BC"/>
    <w:rsid w:val="000534B1"/>
    <w:rsid w:val="00053AFF"/>
    <w:rsid w:val="0005447F"/>
    <w:rsid w:val="000607FD"/>
    <w:rsid w:val="00060823"/>
    <w:rsid w:val="000645A4"/>
    <w:rsid w:val="00067E5E"/>
    <w:rsid w:val="00070442"/>
    <w:rsid w:val="0007385C"/>
    <w:rsid w:val="0008276D"/>
    <w:rsid w:val="00082952"/>
    <w:rsid w:val="000846B6"/>
    <w:rsid w:val="00085F7C"/>
    <w:rsid w:val="000864EB"/>
    <w:rsid w:val="00087285"/>
    <w:rsid w:val="0009209D"/>
    <w:rsid w:val="0009526A"/>
    <w:rsid w:val="0009602A"/>
    <w:rsid w:val="000A088C"/>
    <w:rsid w:val="000A09AB"/>
    <w:rsid w:val="000A1D4D"/>
    <w:rsid w:val="000B2099"/>
    <w:rsid w:val="000B234C"/>
    <w:rsid w:val="000B59F1"/>
    <w:rsid w:val="000B7121"/>
    <w:rsid w:val="000C301D"/>
    <w:rsid w:val="000D0DCC"/>
    <w:rsid w:val="000D1CA9"/>
    <w:rsid w:val="000D4671"/>
    <w:rsid w:val="000D49B0"/>
    <w:rsid w:val="000D4B52"/>
    <w:rsid w:val="000D61E4"/>
    <w:rsid w:val="000D642B"/>
    <w:rsid w:val="000D6680"/>
    <w:rsid w:val="000E209D"/>
    <w:rsid w:val="000E427A"/>
    <w:rsid w:val="000E6F88"/>
    <w:rsid w:val="000E769B"/>
    <w:rsid w:val="000F2D53"/>
    <w:rsid w:val="000F3A02"/>
    <w:rsid w:val="000F3BC0"/>
    <w:rsid w:val="000F3C38"/>
    <w:rsid w:val="000F5074"/>
    <w:rsid w:val="000F575F"/>
    <w:rsid w:val="000F58A4"/>
    <w:rsid w:val="0010003A"/>
    <w:rsid w:val="00104D36"/>
    <w:rsid w:val="00112774"/>
    <w:rsid w:val="001139E6"/>
    <w:rsid w:val="001169BA"/>
    <w:rsid w:val="00120158"/>
    <w:rsid w:val="001235C5"/>
    <w:rsid w:val="0012399E"/>
    <w:rsid w:val="00124C73"/>
    <w:rsid w:val="0013289C"/>
    <w:rsid w:val="001356C0"/>
    <w:rsid w:val="001376F0"/>
    <w:rsid w:val="001426A5"/>
    <w:rsid w:val="00144B09"/>
    <w:rsid w:val="00144D74"/>
    <w:rsid w:val="00145BB9"/>
    <w:rsid w:val="00146DB1"/>
    <w:rsid w:val="00151674"/>
    <w:rsid w:val="00152099"/>
    <w:rsid w:val="0015277D"/>
    <w:rsid w:val="00152C9F"/>
    <w:rsid w:val="001543C4"/>
    <w:rsid w:val="001550D1"/>
    <w:rsid w:val="00155B2A"/>
    <w:rsid w:val="0015780F"/>
    <w:rsid w:val="0016201B"/>
    <w:rsid w:val="00163FBA"/>
    <w:rsid w:val="0016521E"/>
    <w:rsid w:val="00166458"/>
    <w:rsid w:val="00170006"/>
    <w:rsid w:val="00172492"/>
    <w:rsid w:val="001728A3"/>
    <w:rsid w:val="00173963"/>
    <w:rsid w:val="00175DBE"/>
    <w:rsid w:val="00176476"/>
    <w:rsid w:val="001779C6"/>
    <w:rsid w:val="00180877"/>
    <w:rsid w:val="00183F52"/>
    <w:rsid w:val="00187C75"/>
    <w:rsid w:val="00190597"/>
    <w:rsid w:val="0019080E"/>
    <w:rsid w:val="001941E4"/>
    <w:rsid w:val="00196E3B"/>
    <w:rsid w:val="00197D3C"/>
    <w:rsid w:val="00197DEC"/>
    <w:rsid w:val="001A0CD0"/>
    <w:rsid w:val="001A0F12"/>
    <w:rsid w:val="001A1200"/>
    <w:rsid w:val="001A2B06"/>
    <w:rsid w:val="001A38F5"/>
    <w:rsid w:val="001A470B"/>
    <w:rsid w:val="001A5963"/>
    <w:rsid w:val="001A5C5D"/>
    <w:rsid w:val="001A690F"/>
    <w:rsid w:val="001A7E15"/>
    <w:rsid w:val="001B0498"/>
    <w:rsid w:val="001B0C62"/>
    <w:rsid w:val="001B560C"/>
    <w:rsid w:val="001B6EC8"/>
    <w:rsid w:val="001C074D"/>
    <w:rsid w:val="001C6966"/>
    <w:rsid w:val="001C7893"/>
    <w:rsid w:val="001D1007"/>
    <w:rsid w:val="001D363F"/>
    <w:rsid w:val="001D6564"/>
    <w:rsid w:val="001E4BCB"/>
    <w:rsid w:val="001F3B78"/>
    <w:rsid w:val="00200251"/>
    <w:rsid w:val="002034D5"/>
    <w:rsid w:val="00210004"/>
    <w:rsid w:val="00210330"/>
    <w:rsid w:val="0021178C"/>
    <w:rsid w:val="002132A0"/>
    <w:rsid w:val="0021488A"/>
    <w:rsid w:val="00216748"/>
    <w:rsid w:val="0021676A"/>
    <w:rsid w:val="0022505C"/>
    <w:rsid w:val="00225DC8"/>
    <w:rsid w:val="002270AB"/>
    <w:rsid w:val="00227CA6"/>
    <w:rsid w:val="00230871"/>
    <w:rsid w:val="00230DBE"/>
    <w:rsid w:val="002335B6"/>
    <w:rsid w:val="00237434"/>
    <w:rsid w:val="00241283"/>
    <w:rsid w:val="00241E9C"/>
    <w:rsid w:val="00247B10"/>
    <w:rsid w:val="002502B6"/>
    <w:rsid w:val="002515BB"/>
    <w:rsid w:val="00253B3D"/>
    <w:rsid w:val="002547D7"/>
    <w:rsid w:val="002548F7"/>
    <w:rsid w:val="00261248"/>
    <w:rsid w:val="00263000"/>
    <w:rsid w:val="002713B3"/>
    <w:rsid w:val="00271908"/>
    <w:rsid w:val="00271D48"/>
    <w:rsid w:val="00274D11"/>
    <w:rsid w:val="00280686"/>
    <w:rsid w:val="00280F54"/>
    <w:rsid w:val="002821AD"/>
    <w:rsid w:val="00283025"/>
    <w:rsid w:val="0028406F"/>
    <w:rsid w:val="002875EC"/>
    <w:rsid w:val="00287EDC"/>
    <w:rsid w:val="00290F8F"/>
    <w:rsid w:val="00293424"/>
    <w:rsid w:val="00294D5F"/>
    <w:rsid w:val="002A4F62"/>
    <w:rsid w:val="002A6A99"/>
    <w:rsid w:val="002A6E36"/>
    <w:rsid w:val="002B0C30"/>
    <w:rsid w:val="002B2411"/>
    <w:rsid w:val="002B292D"/>
    <w:rsid w:val="002C0F6E"/>
    <w:rsid w:val="002C1490"/>
    <w:rsid w:val="002C2615"/>
    <w:rsid w:val="002C2AE0"/>
    <w:rsid w:val="002C3298"/>
    <w:rsid w:val="002C351A"/>
    <w:rsid w:val="002C36C5"/>
    <w:rsid w:val="002C49A2"/>
    <w:rsid w:val="002C4F8C"/>
    <w:rsid w:val="002C6436"/>
    <w:rsid w:val="002D23EF"/>
    <w:rsid w:val="002D3881"/>
    <w:rsid w:val="002D4E16"/>
    <w:rsid w:val="002D5C71"/>
    <w:rsid w:val="002D77D7"/>
    <w:rsid w:val="002E0288"/>
    <w:rsid w:val="002E3F52"/>
    <w:rsid w:val="002E472C"/>
    <w:rsid w:val="002F0836"/>
    <w:rsid w:val="002F1799"/>
    <w:rsid w:val="002F1CEF"/>
    <w:rsid w:val="002F1FC9"/>
    <w:rsid w:val="002F409E"/>
    <w:rsid w:val="002F43A3"/>
    <w:rsid w:val="002F4A1E"/>
    <w:rsid w:val="002F5952"/>
    <w:rsid w:val="002F6BA6"/>
    <w:rsid w:val="00302C3F"/>
    <w:rsid w:val="00303F9D"/>
    <w:rsid w:val="003040CF"/>
    <w:rsid w:val="003050BB"/>
    <w:rsid w:val="003112CF"/>
    <w:rsid w:val="00315E82"/>
    <w:rsid w:val="003174DF"/>
    <w:rsid w:val="00320046"/>
    <w:rsid w:val="00320B3F"/>
    <w:rsid w:val="0032336E"/>
    <w:rsid w:val="00323DB6"/>
    <w:rsid w:val="00324C42"/>
    <w:rsid w:val="003303B4"/>
    <w:rsid w:val="00334A57"/>
    <w:rsid w:val="00335C2E"/>
    <w:rsid w:val="0033757A"/>
    <w:rsid w:val="0034030B"/>
    <w:rsid w:val="00340439"/>
    <w:rsid w:val="0034605B"/>
    <w:rsid w:val="003523FF"/>
    <w:rsid w:val="00352840"/>
    <w:rsid w:val="0035399E"/>
    <w:rsid w:val="00354E6B"/>
    <w:rsid w:val="0035505B"/>
    <w:rsid w:val="00361982"/>
    <w:rsid w:val="00363063"/>
    <w:rsid w:val="00365047"/>
    <w:rsid w:val="003708C0"/>
    <w:rsid w:val="00373C89"/>
    <w:rsid w:val="003746DC"/>
    <w:rsid w:val="0037528F"/>
    <w:rsid w:val="00375368"/>
    <w:rsid w:val="003758E2"/>
    <w:rsid w:val="00375A78"/>
    <w:rsid w:val="00382842"/>
    <w:rsid w:val="00384265"/>
    <w:rsid w:val="003A2D97"/>
    <w:rsid w:val="003A4B1B"/>
    <w:rsid w:val="003A4B67"/>
    <w:rsid w:val="003B0855"/>
    <w:rsid w:val="003B11FD"/>
    <w:rsid w:val="003B1CD3"/>
    <w:rsid w:val="003B4AA2"/>
    <w:rsid w:val="003B56AA"/>
    <w:rsid w:val="003B60D2"/>
    <w:rsid w:val="003C2F81"/>
    <w:rsid w:val="003C5512"/>
    <w:rsid w:val="003C559A"/>
    <w:rsid w:val="003C6090"/>
    <w:rsid w:val="003D0E26"/>
    <w:rsid w:val="003D799F"/>
    <w:rsid w:val="003E4A4F"/>
    <w:rsid w:val="003E52B5"/>
    <w:rsid w:val="003E7503"/>
    <w:rsid w:val="003F0606"/>
    <w:rsid w:val="003F080F"/>
    <w:rsid w:val="003F1E98"/>
    <w:rsid w:val="003F2103"/>
    <w:rsid w:val="003F620B"/>
    <w:rsid w:val="003F6F67"/>
    <w:rsid w:val="004022FA"/>
    <w:rsid w:val="004026B0"/>
    <w:rsid w:val="004045F3"/>
    <w:rsid w:val="00405532"/>
    <w:rsid w:val="004077DF"/>
    <w:rsid w:val="00410764"/>
    <w:rsid w:val="00410900"/>
    <w:rsid w:val="00413DC2"/>
    <w:rsid w:val="0041532E"/>
    <w:rsid w:val="00415697"/>
    <w:rsid w:val="004161E3"/>
    <w:rsid w:val="00416D2D"/>
    <w:rsid w:val="00417AC0"/>
    <w:rsid w:val="004202A7"/>
    <w:rsid w:val="00422CEC"/>
    <w:rsid w:val="004263FC"/>
    <w:rsid w:val="004279B7"/>
    <w:rsid w:val="00431239"/>
    <w:rsid w:val="00432740"/>
    <w:rsid w:val="00441CD1"/>
    <w:rsid w:val="00443813"/>
    <w:rsid w:val="00450044"/>
    <w:rsid w:val="004509C4"/>
    <w:rsid w:val="004543F4"/>
    <w:rsid w:val="0045442B"/>
    <w:rsid w:val="00454D9E"/>
    <w:rsid w:val="00455B85"/>
    <w:rsid w:val="00455D64"/>
    <w:rsid w:val="004565DB"/>
    <w:rsid w:val="00457BC1"/>
    <w:rsid w:val="00465588"/>
    <w:rsid w:val="00466E52"/>
    <w:rsid w:val="004705AD"/>
    <w:rsid w:val="00471949"/>
    <w:rsid w:val="00474891"/>
    <w:rsid w:val="00480FA4"/>
    <w:rsid w:val="00481258"/>
    <w:rsid w:val="00481C26"/>
    <w:rsid w:val="00482BD4"/>
    <w:rsid w:val="00483892"/>
    <w:rsid w:val="0048564C"/>
    <w:rsid w:val="004862AB"/>
    <w:rsid w:val="00487EE9"/>
    <w:rsid w:val="00492CDB"/>
    <w:rsid w:val="004932A6"/>
    <w:rsid w:val="004947EB"/>
    <w:rsid w:val="0049725E"/>
    <w:rsid w:val="004A6364"/>
    <w:rsid w:val="004B33CD"/>
    <w:rsid w:val="004B5A83"/>
    <w:rsid w:val="004C12EE"/>
    <w:rsid w:val="004C1BD9"/>
    <w:rsid w:val="004C68BB"/>
    <w:rsid w:val="004D1326"/>
    <w:rsid w:val="004D4528"/>
    <w:rsid w:val="004D65E9"/>
    <w:rsid w:val="004D7050"/>
    <w:rsid w:val="004E1E47"/>
    <w:rsid w:val="004E5CC6"/>
    <w:rsid w:val="004E6FF6"/>
    <w:rsid w:val="004F00E0"/>
    <w:rsid w:val="004F1734"/>
    <w:rsid w:val="004F448F"/>
    <w:rsid w:val="0050058F"/>
    <w:rsid w:val="005006D8"/>
    <w:rsid w:val="00503A88"/>
    <w:rsid w:val="005055AC"/>
    <w:rsid w:val="00506711"/>
    <w:rsid w:val="00513B24"/>
    <w:rsid w:val="00517872"/>
    <w:rsid w:val="0052627F"/>
    <w:rsid w:val="00527B00"/>
    <w:rsid w:val="005327C1"/>
    <w:rsid w:val="00536687"/>
    <w:rsid w:val="005368A3"/>
    <w:rsid w:val="00540CBA"/>
    <w:rsid w:val="00542356"/>
    <w:rsid w:val="005437A2"/>
    <w:rsid w:val="00546511"/>
    <w:rsid w:val="0054690C"/>
    <w:rsid w:val="0055179E"/>
    <w:rsid w:val="005532AB"/>
    <w:rsid w:val="00554CF4"/>
    <w:rsid w:val="00554DD4"/>
    <w:rsid w:val="00555C49"/>
    <w:rsid w:val="0056373C"/>
    <w:rsid w:val="00564D4E"/>
    <w:rsid w:val="00566A21"/>
    <w:rsid w:val="0056702E"/>
    <w:rsid w:val="00567F9D"/>
    <w:rsid w:val="00571BA6"/>
    <w:rsid w:val="00571F18"/>
    <w:rsid w:val="00573174"/>
    <w:rsid w:val="00582967"/>
    <w:rsid w:val="0058398A"/>
    <w:rsid w:val="00584365"/>
    <w:rsid w:val="00585DAC"/>
    <w:rsid w:val="00587F2F"/>
    <w:rsid w:val="00587FE0"/>
    <w:rsid w:val="005A0CA2"/>
    <w:rsid w:val="005A20D2"/>
    <w:rsid w:val="005A2EB1"/>
    <w:rsid w:val="005A3E01"/>
    <w:rsid w:val="005A753F"/>
    <w:rsid w:val="005B14AB"/>
    <w:rsid w:val="005B40DF"/>
    <w:rsid w:val="005B4580"/>
    <w:rsid w:val="005B4B18"/>
    <w:rsid w:val="005B5074"/>
    <w:rsid w:val="005B56A7"/>
    <w:rsid w:val="005B757D"/>
    <w:rsid w:val="005B7E63"/>
    <w:rsid w:val="005C62FD"/>
    <w:rsid w:val="005C6FF3"/>
    <w:rsid w:val="005C7AED"/>
    <w:rsid w:val="005D03B9"/>
    <w:rsid w:val="005E29C6"/>
    <w:rsid w:val="005E538E"/>
    <w:rsid w:val="005E5449"/>
    <w:rsid w:val="005E5626"/>
    <w:rsid w:val="005E5DDE"/>
    <w:rsid w:val="005F4866"/>
    <w:rsid w:val="005F4F41"/>
    <w:rsid w:val="005F6430"/>
    <w:rsid w:val="00601A51"/>
    <w:rsid w:val="00601AEA"/>
    <w:rsid w:val="00602ACC"/>
    <w:rsid w:val="00605F0B"/>
    <w:rsid w:val="0060626C"/>
    <w:rsid w:val="0060637F"/>
    <w:rsid w:val="00606822"/>
    <w:rsid w:val="006127D2"/>
    <w:rsid w:val="00613E48"/>
    <w:rsid w:val="00614578"/>
    <w:rsid w:val="00614605"/>
    <w:rsid w:val="00621335"/>
    <w:rsid w:val="0062159B"/>
    <w:rsid w:val="0062256F"/>
    <w:rsid w:val="006228FF"/>
    <w:rsid w:val="00623760"/>
    <w:rsid w:val="00627F98"/>
    <w:rsid w:val="006311A8"/>
    <w:rsid w:val="00631A85"/>
    <w:rsid w:val="006369C6"/>
    <w:rsid w:val="00636BFD"/>
    <w:rsid w:val="006379DA"/>
    <w:rsid w:val="006400D8"/>
    <w:rsid w:val="00641990"/>
    <w:rsid w:val="00645E07"/>
    <w:rsid w:val="00646F91"/>
    <w:rsid w:val="006506B3"/>
    <w:rsid w:val="006532E2"/>
    <w:rsid w:val="00657D15"/>
    <w:rsid w:val="00660818"/>
    <w:rsid w:val="00662F1A"/>
    <w:rsid w:val="00665CE1"/>
    <w:rsid w:val="00667725"/>
    <w:rsid w:val="0067276A"/>
    <w:rsid w:val="00673611"/>
    <w:rsid w:val="00674287"/>
    <w:rsid w:val="006806A4"/>
    <w:rsid w:val="006808BD"/>
    <w:rsid w:val="00681898"/>
    <w:rsid w:val="006837C8"/>
    <w:rsid w:val="00685E85"/>
    <w:rsid w:val="00687AF0"/>
    <w:rsid w:val="0069604F"/>
    <w:rsid w:val="006967A2"/>
    <w:rsid w:val="00697E9E"/>
    <w:rsid w:val="006A5182"/>
    <w:rsid w:val="006B1057"/>
    <w:rsid w:val="006B1AFD"/>
    <w:rsid w:val="006B2F74"/>
    <w:rsid w:val="006B3345"/>
    <w:rsid w:val="006B50E3"/>
    <w:rsid w:val="006B657E"/>
    <w:rsid w:val="006C0E6E"/>
    <w:rsid w:val="006C1F64"/>
    <w:rsid w:val="006C2C95"/>
    <w:rsid w:val="006C3E5A"/>
    <w:rsid w:val="006D2F5B"/>
    <w:rsid w:val="006E1CA7"/>
    <w:rsid w:val="006F1884"/>
    <w:rsid w:val="00700BD0"/>
    <w:rsid w:val="00701A37"/>
    <w:rsid w:val="0070300B"/>
    <w:rsid w:val="00705876"/>
    <w:rsid w:val="00707A7B"/>
    <w:rsid w:val="00715966"/>
    <w:rsid w:val="00715F29"/>
    <w:rsid w:val="00716BEA"/>
    <w:rsid w:val="007221F6"/>
    <w:rsid w:val="0072443A"/>
    <w:rsid w:val="00725E43"/>
    <w:rsid w:val="00725F7F"/>
    <w:rsid w:val="0073182B"/>
    <w:rsid w:val="00737D47"/>
    <w:rsid w:val="00740455"/>
    <w:rsid w:val="007404C6"/>
    <w:rsid w:val="00741F3C"/>
    <w:rsid w:val="00742A3F"/>
    <w:rsid w:val="007446C9"/>
    <w:rsid w:val="00746877"/>
    <w:rsid w:val="00746D72"/>
    <w:rsid w:val="0075116F"/>
    <w:rsid w:val="00751776"/>
    <w:rsid w:val="007520FC"/>
    <w:rsid w:val="007529AC"/>
    <w:rsid w:val="0075400C"/>
    <w:rsid w:val="0075450F"/>
    <w:rsid w:val="0075496E"/>
    <w:rsid w:val="00754D92"/>
    <w:rsid w:val="00762CD3"/>
    <w:rsid w:val="00763BD4"/>
    <w:rsid w:val="00770D3B"/>
    <w:rsid w:val="00770D6E"/>
    <w:rsid w:val="0077228A"/>
    <w:rsid w:val="007746E3"/>
    <w:rsid w:val="00776060"/>
    <w:rsid w:val="00777527"/>
    <w:rsid w:val="00782E09"/>
    <w:rsid w:val="00784038"/>
    <w:rsid w:val="00790C56"/>
    <w:rsid w:val="00791BBA"/>
    <w:rsid w:val="00793C14"/>
    <w:rsid w:val="00795603"/>
    <w:rsid w:val="007A5289"/>
    <w:rsid w:val="007B360C"/>
    <w:rsid w:val="007B369C"/>
    <w:rsid w:val="007B5F16"/>
    <w:rsid w:val="007C02CB"/>
    <w:rsid w:val="007C0D69"/>
    <w:rsid w:val="007C344A"/>
    <w:rsid w:val="007C6276"/>
    <w:rsid w:val="007D21D9"/>
    <w:rsid w:val="007D4CF4"/>
    <w:rsid w:val="007D4FEB"/>
    <w:rsid w:val="007D67FE"/>
    <w:rsid w:val="007D7965"/>
    <w:rsid w:val="007E2483"/>
    <w:rsid w:val="007E290D"/>
    <w:rsid w:val="007E2B82"/>
    <w:rsid w:val="007E35D5"/>
    <w:rsid w:val="007E5A20"/>
    <w:rsid w:val="007E6CD4"/>
    <w:rsid w:val="007E7FE5"/>
    <w:rsid w:val="007F132A"/>
    <w:rsid w:val="007F2D95"/>
    <w:rsid w:val="007F2DFF"/>
    <w:rsid w:val="007F348A"/>
    <w:rsid w:val="007F4C54"/>
    <w:rsid w:val="007F6D24"/>
    <w:rsid w:val="007F7097"/>
    <w:rsid w:val="008059E8"/>
    <w:rsid w:val="00806CB9"/>
    <w:rsid w:val="00807C44"/>
    <w:rsid w:val="00810382"/>
    <w:rsid w:val="008123C3"/>
    <w:rsid w:val="00813A32"/>
    <w:rsid w:val="00813CDC"/>
    <w:rsid w:val="008155F2"/>
    <w:rsid w:val="00815612"/>
    <w:rsid w:val="008210C9"/>
    <w:rsid w:val="0082751B"/>
    <w:rsid w:val="00827CCA"/>
    <w:rsid w:val="0083093B"/>
    <w:rsid w:val="00831618"/>
    <w:rsid w:val="00831636"/>
    <w:rsid w:val="008334CB"/>
    <w:rsid w:val="00833B75"/>
    <w:rsid w:val="0083569E"/>
    <w:rsid w:val="00836F7E"/>
    <w:rsid w:val="0083706A"/>
    <w:rsid w:val="00837582"/>
    <w:rsid w:val="00837925"/>
    <w:rsid w:val="00840C1C"/>
    <w:rsid w:val="00843846"/>
    <w:rsid w:val="00847352"/>
    <w:rsid w:val="00850262"/>
    <w:rsid w:val="00851401"/>
    <w:rsid w:val="00852D19"/>
    <w:rsid w:val="00862FD3"/>
    <w:rsid w:val="008718A7"/>
    <w:rsid w:val="008728B6"/>
    <w:rsid w:val="00874A6B"/>
    <w:rsid w:val="008752B3"/>
    <w:rsid w:val="0087781C"/>
    <w:rsid w:val="008822D5"/>
    <w:rsid w:val="008826A4"/>
    <w:rsid w:val="00883817"/>
    <w:rsid w:val="00884558"/>
    <w:rsid w:val="00884768"/>
    <w:rsid w:val="00884858"/>
    <w:rsid w:val="00884C50"/>
    <w:rsid w:val="00885757"/>
    <w:rsid w:val="008859FE"/>
    <w:rsid w:val="0088688B"/>
    <w:rsid w:val="00886F27"/>
    <w:rsid w:val="00887D07"/>
    <w:rsid w:val="00890F0F"/>
    <w:rsid w:val="008912BF"/>
    <w:rsid w:val="00897621"/>
    <w:rsid w:val="008A0D2B"/>
    <w:rsid w:val="008A468D"/>
    <w:rsid w:val="008A5683"/>
    <w:rsid w:val="008A75D1"/>
    <w:rsid w:val="008C3EE5"/>
    <w:rsid w:val="008C517B"/>
    <w:rsid w:val="008C69CA"/>
    <w:rsid w:val="008D0E76"/>
    <w:rsid w:val="008D1008"/>
    <w:rsid w:val="008D1C6E"/>
    <w:rsid w:val="008D4213"/>
    <w:rsid w:val="008D5289"/>
    <w:rsid w:val="008D6CEF"/>
    <w:rsid w:val="008D7A27"/>
    <w:rsid w:val="008E0CA5"/>
    <w:rsid w:val="008E6081"/>
    <w:rsid w:val="008E6BAC"/>
    <w:rsid w:val="008F2477"/>
    <w:rsid w:val="008F58B7"/>
    <w:rsid w:val="00900660"/>
    <w:rsid w:val="00901A7C"/>
    <w:rsid w:val="0090277E"/>
    <w:rsid w:val="009053AD"/>
    <w:rsid w:val="009107A4"/>
    <w:rsid w:val="00910F21"/>
    <w:rsid w:val="00912F00"/>
    <w:rsid w:val="00913712"/>
    <w:rsid w:val="00915540"/>
    <w:rsid w:val="009158BF"/>
    <w:rsid w:val="00915AC2"/>
    <w:rsid w:val="00920245"/>
    <w:rsid w:val="009228C2"/>
    <w:rsid w:val="0092332D"/>
    <w:rsid w:val="00923758"/>
    <w:rsid w:val="009272DB"/>
    <w:rsid w:val="009274A0"/>
    <w:rsid w:val="00927F43"/>
    <w:rsid w:val="00930A3B"/>
    <w:rsid w:val="00934235"/>
    <w:rsid w:val="009355D3"/>
    <w:rsid w:val="00937A1A"/>
    <w:rsid w:val="00940E7F"/>
    <w:rsid w:val="009413F9"/>
    <w:rsid w:val="00941A4E"/>
    <w:rsid w:val="00941C7F"/>
    <w:rsid w:val="00944636"/>
    <w:rsid w:val="009513A8"/>
    <w:rsid w:val="00956059"/>
    <w:rsid w:val="0095776A"/>
    <w:rsid w:val="00960A80"/>
    <w:rsid w:val="00960BA1"/>
    <w:rsid w:val="00962E14"/>
    <w:rsid w:val="00966826"/>
    <w:rsid w:val="00967D50"/>
    <w:rsid w:val="009707C4"/>
    <w:rsid w:val="009719CE"/>
    <w:rsid w:val="0097307A"/>
    <w:rsid w:val="009751FC"/>
    <w:rsid w:val="00975E0A"/>
    <w:rsid w:val="00975E97"/>
    <w:rsid w:val="0098125A"/>
    <w:rsid w:val="00981689"/>
    <w:rsid w:val="009817E7"/>
    <w:rsid w:val="00982392"/>
    <w:rsid w:val="00982E42"/>
    <w:rsid w:val="0099078F"/>
    <w:rsid w:val="00992026"/>
    <w:rsid w:val="00992A4E"/>
    <w:rsid w:val="0099448F"/>
    <w:rsid w:val="009A16CD"/>
    <w:rsid w:val="009A4A54"/>
    <w:rsid w:val="009A549B"/>
    <w:rsid w:val="009A6C50"/>
    <w:rsid w:val="009A784A"/>
    <w:rsid w:val="009A786D"/>
    <w:rsid w:val="009B020C"/>
    <w:rsid w:val="009B04FF"/>
    <w:rsid w:val="009B35E1"/>
    <w:rsid w:val="009B3BA3"/>
    <w:rsid w:val="009B70B7"/>
    <w:rsid w:val="009B795F"/>
    <w:rsid w:val="009B7F88"/>
    <w:rsid w:val="009C0021"/>
    <w:rsid w:val="009D295B"/>
    <w:rsid w:val="009D4272"/>
    <w:rsid w:val="009E187A"/>
    <w:rsid w:val="009E3B3B"/>
    <w:rsid w:val="009E637D"/>
    <w:rsid w:val="009E6B71"/>
    <w:rsid w:val="009F0BC4"/>
    <w:rsid w:val="009F1644"/>
    <w:rsid w:val="009F1EAB"/>
    <w:rsid w:val="009F2A3D"/>
    <w:rsid w:val="009F6159"/>
    <w:rsid w:val="009F66F2"/>
    <w:rsid w:val="009F7263"/>
    <w:rsid w:val="009F73C7"/>
    <w:rsid w:val="009F7786"/>
    <w:rsid w:val="00A0404D"/>
    <w:rsid w:val="00A04C16"/>
    <w:rsid w:val="00A074B0"/>
    <w:rsid w:val="00A1142A"/>
    <w:rsid w:val="00A1219E"/>
    <w:rsid w:val="00A126D3"/>
    <w:rsid w:val="00A12AF3"/>
    <w:rsid w:val="00A132C0"/>
    <w:rsid w:val="00A16E2A"/>
    <w:rsid w:val="00A20A54"/>
    <w:rsid w:val="00A22F01"/>
    <w:rsid w:val="00A2725C"/>
    <w:rsid w:val="00A27FE5"/>
    <w:rsid w:val="00A319B4"/>
    <w:rsid w:val="00A327D6"/>
    <w:rsid w:val="00A4128B"/>
    <w:rsid w:val="00A412BE"/>
    <w:rsid w:val="00A413F6"/>
    <w:rsid w:val="00A436C3"/>
    <w:rsid w:val="00A51C5E"/>
    <w:rsid w:val="00A55F01"/>
    <w:rsid w:val="00A61E8D"/>
    <w:rsid w:val="00A6315E"/>
    <w:rsid w:val="00A631C2"/>
    <w:rsid w:val="00A6345D"/>
    <w:rsid w:val="00A63751"/>
    <w:rsid w:val="00A64638"/>
    <w:rsid w:val="00A655B4"/>
    <w:rsid w:val="00A70359"/>
    <w:rsid w:val="00A71632"/>
    <w:rsid w:val="00A71CB0"/>
    <w:rsid w:val="00A73448"/>
    <w:rsid w:val="00A80B97"/>
    <w:rsid w:val="00A81107"/>
    <w:rsid w:val="00A81F37"/>
    <w:rsid w:val="00A8265F"/>
    <w:rsid w:val="00A8531D"/>
    <w:rsid w:val="00A90557"/>
    <w:rsid w:val="00A9560A"/>
    <w:rsid w:val="00AA1556"/>
    <w:rsid w:val="00AA7C43"/>
    <w:rsid w:val="00AB1A10"/>
    <w:rsid w:val="00AB5377"/>
    <w:rsid w:val="00AB58C8"/>
    <w:rsid w:val="00AB5F21"/>
    <w:rsid w:val="00AC0637"/>
    <w:rsid w:val="00AC26F4"/>
    <w:rsid w:val="00AC48F8"/>
    <w:rsid w:val="00AC4DAD"/>
    <w:rsid w:val="00AC5D07"/>
    <w:rsid w:val="00AD0354"/>
    <w:rsid w:val="00AD1149"/>
    <w:rsid w:val="00AD1971"/>
    <w:rsid w:val="00AD1E5C"/>
    <w:rsid w:val="00AD35B5"/>
    <w:rsid w:val="00AE2DA1"/>
    <w:rsid w:val="00AE3618"/>
    <w:rsid w:val="00AE505E"/>
    <w:rsid w:val="00AF080F"/>
    <w:rsid w:val="00AF0A15"/>
    <w:rsid w:val="00AF11C0"/>
    <w:rsid w:val="00AF327D"/>
    <w:rsid w:val="00AF3EE8"/>
    <w:rsid w:val="00AF5B1E"/>
    <w:rsid w:val="00B04270"/>
    <w:rsid w:val="00B05AED"/>
    <w:rsid w:val="00B05B58"/>
    <w:rsid w:val="00B112BB"/>
    <w:rsid w:val="00B13311"/>
    <w:rsid w:val="00B164B0"/>
    <w:rsid w:val="00B17C42"/>
    <w:rsid w:val="00B211FC"/>
    <w:rsid w:val="00B22D48"/>
    <w:rsid w:val="00B2630E"/>
    <w:rsid w:val="00B30EDD"/>
    <w:rsid w:val="00B34078"/>
    <w:rsid w:val="00B3472F"/>
    <w:rsid w:val="00B34D16"/>
    <w:rsid w:val="00B34F52"/>
    <w:rsid w:val="00B35AD3"/>
    <w:rsid w:val="00B36706"/>
    <w:rsid w:val="00B41283"/>
    <w:rsid w:val="00B4362A"/>
    <w:rsid w:val="00B46E26"/>
    <w:rsid w:val="00B47F8C"/>
    <w:rsid w:val="00B5006C"/>
    <w:rsid w:val="00B50086"/>
    <w:rsid w:val="00B50C59"/>
    <w:rsid w:val="00B55F64"/>
    <w:rsid w:val="00B56F61"/>
    <w:rsid w:val="00B57066"/>
    <w:rsid w:val="00B62D71"/>
    <w:rsid w:val="00B661A7"/>
    <w:rsid w:val="00B74402"/>
    <w:rsid w:val="00B762AB"/>
    <w:rsid w:val="00B77AE5"/>
    <w:rsid w:val="00B80DDF"/>
    <w:rsid w:val="00B81E22"/>
    <w:rsid w:val="00B83A1D"/>
    <w:rsid w:val="00B858BA"/>
    <w:rsid w:val="00B8624C"/>
    <w:rsid w:val="00B866C3"/>
    <w:rsid w:val="00B86735"/>
    <w:rsid w:val="00B867EE"/>
    <w:rsid w:val="00B926C4"/>
    <w:rsid w:val="00B948A0"/>
    <w:rsid w:val="00B95029"/>
    <w:rsid w:val="00B9509D"/>
    <w:rsid w:val="00B976EC"/>
    <w:rsid w:val="00BA08D5"/>
    <w:rsid w:val="00BA347F"/>
    <w:rsid w:val="00BA35B8"/>
    <w:rsid w:val="00BA737D"/>
    <w:rsid w:val="00BB0BE8"/>
    <w:rsid w:val="00BB2F2C"/>
    <w:rsid w:val="00BB6BB6"/>
    <w:rsid w:val="00BC065C"/>
    <w:rsid w:val="00BC5DA7"/>
    <w:rsid w:val="00BC7BB7"/>
    <w:rsid w:val="00BD1039"/>
    <w:rsid w:val="00BD11F5"/>
    <w:rsid w:val="00BD3F15"/>
    <w:rsid w:val="00BD6BF2"/>
    <w:rsid w:val="00BD7582"/>
    <w:rsid w:val="00BD7649"/>
    <w:rsid w:val="00BE0905"/>
    <w:rsid w:val="00BE30EB"/>
    <w:rsid w:val="00BE75D9"/>
    <w:rsid w:val="00BE7979"/>
    <w:rsid w:val="00BF0AD0"/>
    <w:rsid w:val="00BF1CE6"/>
    <w:rsid w:val="00BF433E"/>
    <w:rsid w:val="00BF68D8"/>
    <w:rsid w:val="00BF6D63"/>
    <w:rsid w:val="00BF7F5C"/>
    <w:rsid w:val="00C005E9"/>
    <w:rsid w:val="00C0219C"/>
    <w:rsid w:val="00C05CAB"/>
    <w:rsid w:val="00C05D05"/>
    <w:rsid w:val="00C07682"/>
    <w:rsid w:val="00C109EA"/>
    <w:rsid w:val="00C114A3"/>
    <w:rsid w:val="00C1249B"/>
    <w:rsid w:val="00C12DDD"/>
    <w:rsid w:val="00C1308E"/>
    <w:rsid w:val="00C206BA"/>
    <w:rsid w:val="00C20D24"/>
    <w:rsid w:val="00C20EC7"/>
    <w:rsid w:val="00C24A70"/>
    <w:rsid w:val="00C276B5"/>
    <w:rsid w:val="00C33BE8"/>
    <w:rsid w:val="00C33D12"/>
    <w:rsid w:val="00C364E5"/>
    <w:rsid w:val="00C43621"/>
    <w:rsid w:val="00C45B8C"/>
    <w:rsid w:val="00C53CA0"/>
    <w:rsid w:val="00C572A9"/>
    <w:rsid w:val="00C65C43"/>
    <w:rsid w:val="00C668EC"/>
    <w:rsid w:val="00C671EE"/>
    <w:rsid w:val="00C7033A"/>
    <w:rsid w:val="00C7035F"/>
    <w:rsid w:val="00C75E30"/>
    <w:rsid w:val="00C814F3"/>
    <w:rsid w:val="00C8191F"/>
    <w:rsid w:val="00C81A8B"/>
    <w:rsid w:val="00C821D2"/>
    <w:rsid w:val="00C8290C"/>
    <w:rsid w:val="00C901BB"/>
    <w:rsid w:val="00C958D7"/>
    <w:rsid w:val="00C96DC5"/>
    <w:rsid w:val="00C97D1E"/>
    <w:rsid w:val="00CA243A"/>
    <w:rsid w:val="00CA4ABA"/>
    <w:rsid w:val="00CA4F87"/>
    <w:rsid w:val="00CA6FAE"/>
    <w:rsid w:val="00CA750A"/>
    <w:rsid w:val="00CB00D2"/>
    <w:rsid w:val="00CB0A54"/>
    <w:rsid w:val="00CB2FCC"/>
    <w:rsid w:val="00CB3009"/>
    <w:rsid w:val="00CB3A32"/>
    <w:rsid w:val="00CB4BEA"/>
    <w:rsid w:val="00CC4B1D"/>
    <w:rsid w:val="00CC5A77"/>
    <w:rsid w:val="00CC647B"/>
    <w:rsid w:val="00CD0318"/>
    <w:rsid w:val="00CD1FC1"/>
    <w:rsid w:val="00CD2708"/>
    <w:rsid w:val="00CD4909"/>
    <w:rsid w:val="00CD6551"/>
    <w:rsid w:val="00CE5190"/>
    <w:rsid w:val="00CE66E8"/>
    <w:rsid w:val="00CF013F"/>
    <w:rsid w:val="00CF1CCB"/>
    <w:rsid w:val="00CF3167"/>
    <w:rsid w:val="00CF41DB"/>
    <w:rsid w:val="00CF42FE"/>
    <w:rsid w:val="00D01F37"/>
    <w:rsid w:val="00D02484"/>
    <w:rsid w:val="00D02897"/>
    <w:rsid w:val="00D03B55"/>
    <w:rsid w:val="00D046FB"/>
    <w:rsid w:val="00D068DA"/>
    <w:rsid w:val="00D1000C"/>
    <w:rsid w:val="00D105A1"/>
    <w:rsid w:val="00D12300"/>
    <w:rsid w:val="00D20AF0"/>
    <w:rsid w:val="00D22A11"/>
    <w:rsid w:val="00D255B3"/>
    <w:rsid w:val="00D25F02"/>
    <w:rsid w:val="00D274CD"/>
    <w:rsid w:val="00D314ED"/>
    <w:rsid w:val="00D33E3D"/>
    <w:rsid w:val="00D34B0C"/>
    <w:rsid w:val="00D34BCF"/>
    <w:rsid w:val="00D436A4"/>
    <w:rsid w:val="00D44319"/>
    <w:rsid w:val="00D44341"/>
    <w:rsid w:val="00D454C7"/>
    <w:rsid w:val="00D45FFF"/>
    <w:rsid w:val="00D46E78"/>
    <w:rsid w:val="00D52476"/>
    <w:rsid w:val="00D5479F"/>
    <w:rsid w:val="00D56DF8"/>
    <w:rsid w:val="00D578AE"/>
    <w:rsid w:val="00D604E0"/>
    <w:rsid w:val="00D61806"/>
    <w:rsid w:val="00D619EC"/>
    <w:rsid w:val="00D62241"/>
    <w:rsid w:val="00D643FD"/>
    <w:rsid w:val="00D70197"/>
    <w:rsid w:val="00D70A93"/>
    <w:rsid w:val="00D71076"/>
    <w:rsid w:val="00D770F4"/>
    <w:rsid w:val="00D8163B"/>
    <w:rsid w:val="00D81966"/>
    <w:rsid w:val="00D86703"/>
    <w:rsid w:val="00D867F3"/>
    <w:rsid w:val="00D86F91"/>
    <w:rsid w:val="00D90E5A"/>
    <w:rsid w:val="00D93325"/>
    <w:rsid w:val="00D953F1"/>
    <w:rsid w:val="00D96D43"/>
    <w:rsid w:val="00D97132"/>
    <w:rsid w:val="00D97190"/>
    <w:rsid w:val="00DA0B38"/>
    <w:rsid w:val="00DA0BDB"/>
    <w:rsid w:val="00DA1886"/>
    <w:rsid w:val="00DA6A7E"/>
    <w:rsid w:val="00DB0182"/>
    <w:rsid w:val="00DB0230"/>
    <w:rsid w:val="00DB25BF"/>
    <w:rsid w:val="00DB3EE4"/>
    <w:rsid w:val="00DB41B5"/>
    <w:rsid w:val="00DB7A82"/>
    <w:rsid w:val="00DC1C53"/>
    <w:rsid w:val="00DC1D1B"/>
    <w:rsid w:val="00DC5E0E"/>
    <w:rsid w:val="00DC7091"/>
    <w:rsid w:val="00DC718E"/>
    <w:rsid w:val="00DD251A"/>
    <w:rsid w:val="00DD2B97"/>
    <w:rsid w:val="00DD5EED"/>
    <w:rsid w:val="00DD729D"/>
    <w:rsid w:val="00DE30C7"/>
    <w:rsid w:val="00DF179D"/>
    <w:rsid w:val="00DF3CA3"/>
    <w:rsid w:val="00DF4E94"/>
    <w:rsid w:val="00DF54EA"/>
    <w:rsid w:val="00E01A02"/>
    <w:rsid w:val="00E02960"/>
    <w:rsid w:val="00E10F4E"/>
    <w:rsid w:val="00E201C5"/>
    <w:rsid w:val="00E20827"/>
    <w:rsid w:val="00E242D4"/>
    <w:rsid w:val="00E24A36"/>
    <w:rsid w:val="00E25C51"/>
    <w:rsid w:val="00E3219F"/>
    <w:rsid w:val="00E34E44"/>
    <w:rsid w:val="00E34F24"/>
    <w:rsid w:val="00E360F3"/>
    <w:rsid w:val="00E422A4"/>
    <w:rsid w:val="00E4559A"/>
    <w:rsid w:val="00E46BFC"/>
    <w:rsid w:val="00E53DAC"/>
    <w:rsid w:val="00E548C3"/>
    <w:rsid w:val="00E5504C"/>
    <w:rsid w:val="00E565D6"/>
    <w:rsid w:val="00E5692D"/>
    <w:rsid w:val="00E56BB4"/>
    <w:rsid w:val="00E57634"/>
    <w:rsid w:val="00E625E3"/>
    <w:rsid w:val="00E63BD4"/>
    <w:rsid w:val="00E65F42"/>
    <w:rsid w:val="00E6672F"/>
    <w:rsid w:val="00E711D0"/>
    <w:rsid w:val="00E72E65"/>
    <w:rsid w:val="00E741FE"/>
    <w:rsid w:val="00E75867"/>
    <w:rsid w:val="00E76CD9"/>
    <w:rsid w:val="00E778E1"/>
    <w:rsid w:val="00E8453B"/>
    <w:rsid w:val="00E84E02"/>
    <w:rsid w:val="00E92D17"/>
    <w:rsid w:val="00E94AC7"/>
    <w:rsid w:val="00E96285"/>
    <w:rsid w:val="00E974D9"/>
    <w:rsid w:val="00EA0827"/>
    <w:rsid w:val="00EA1E99"/>
    <w:rsid w:val="00EA2770"/>
    <w:rsid w:val="00EA2D5A"/>
    <w:rsid w:val="00EA45B6"/>
    <w:rsid w:val="00EA6C3A"/>
    <w:rsid w:val="00EB0357"/>
    <w:rsid w:val="00EB4088"/>
    <w:rsid w:val="00EB46A8"/>
    <w:rsid w:val="00EB4B70"/>
    <w:rsid w:val="00EC0ABE"/>
    <w:rsid w:val="00EC4711"/>
    <w:rsid w:val="00EC49E8"/>
    <w:rsid w:val="00EC57C5"/>
    <w:rsid w:val="00EC7BF9"/>
    <w:rsid w:val="00ED2025"/>
    <w:rsid w:val="00ED25FF"/>
    <w:rsid w:val="00ED31B5"/>
    <w:rsid w:val="00ED5277"/>
    <w:rsid w:val="00EE2944"/>
    <w:rsid w:val="00EE3AFC"/>
    <w:rsid w:val="00EE46CD"/>
    <w:rsid w:val="00EE5CEC"/>
    <w:rsid w:val="00EE5D1A"/>
    <w:rsid w:val="00EE5E75"/>
    <w:rsid w:val="00EF2691"/>
    <w:rsid w:val="00EF37B1"/>
    <w:rsid w:val="00F00569"/>
    <w:rsid w:val="00F01CC6"/>
    <w:rsid w:val="00F04B2A"/>
    <w:rsid w:val="00F05195"/>
    <w:rsid w:val="00F05F14"/>
    <w:rsid w:val="00F125A2"/>
    <w:rsid w:val="00F2451F"/>
    <w:rsid w:val="00F30498"/>
    <w:rsid w:val="00F31587"/>
    <w:rsid w:val="00F31927"/>
    <w:rsid w:val="00F332AC"/>
    <w:rsid w:val="00F36E97"/>
    <w:rsid w:val="00F36F14"/>
    <w:rsid w:val="00F41BF5"/>
    <w:rsid w:val="00F44578"/>
    <w:rsid w:val="00F46740"/>
    <w:rsid w:val="00F47ED9"/>
    <w:rsid w:val="00F50236"/>
    <w:rsid w:val="00F53915"/>
    <w:rsid w:val="00F53FDD"/>
    <w:rsid w:val="00F60E42"/>
    <w:rsid w:val="00F62D5E"/>
    <w:rsid w:val="00F65CBB"/>
    <w:rsid w:val="00F6630E"/>
    <w:rsid w:val="00F706A5"/>
    <w:rsid w:val="00F71BC9"/>
    <w:rsid w:val="00F72FF0"/>
    <w:rsid w:val="00F73469"/>
    <w:rsid w:val="00F73D79"/>
    <w:rsid w:val="00F856CA"/>
    <w:rsid w:val="00F85A31"/>
    <w:rsid w:val="00F90A4C"/>
    <w:rsid w:val="00F92F3B"/>
    <w:rsid w:val="00F94AD5"/>
    <w:rsid w:val="00F95BC7"/>
    <w:rsid w:val="00F972F7"/>
    <w:rsid w:val="00FA6D93"/>
    <w:rsid w:val="00FB0E90"/>
    <w:rsid w:val="00FB1101"/>
    <w:rsid w:val="00FB4A28"/>
    <w:rsid w:val="00FB6F86"/>
    <w:rsid w:val="00FC4818"/>
    <w:rsid w:val="00FD0B77"/>
    <w:rsid w:val="00FD1F49"/>
    <w:rsid w:val="00FD6476"/>
    <w:rsid w:val="00FE325D"/>
    <w:rsid w:val="00FE7F82"/>
    <w:rsid w:val="00FF5BC0"/>
    <w:rsid w:val="52274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 w:eastAsia="仿宋" w:hAnsiTheme="minorHAnsi" w:cstheme="minorBidi"/>
      <w:kern w:val="2"/>
      <w:sz w:val="28"/>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ind w:left="840" w:leftChars="4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semiHidden/>
    <w:unhideWhenUsed/>
    <w:qFormat/>
    <w:uiPriority w:val="99"/>
  </w:style>
  <w:style w:type="paragraph" w:styleId="11">
    <w:name w:val="No Spacing"/>
    <w:qFormat/>
    <w:uiPriority w:val="1"/>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customStyle="1" w:styleId="12">
    <w:name w:val="p0"/>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character" w:customStyle="1" w:styleId="13">
    <w:name w:val="标题 1 Char"/>
    <w:basedOn w:val="9"/>
    <w:link w:val="2"/>
    <w:qFormat/>
    <w:uiPriority w:val="9"/>
    <w:rPr>
      <w:rFonts w:ascii="仿宋" w:eastAsia="仿宋"/>
      <w:b/>
      <w:bCs/>
      <w:kern w:val="44"/>
      <w:sz w:val="44"/>
      <w:szCs w:val="44"/>
    </w:rPr>
  </w:style>
  <w:style w:type="character" w:customStyle="1" w:styleId="14">
    <w:name w:val="页眉 Char"/>
    <w:basedOn w:val="9"/>
    <w:link w:val="7"/>
    <w:uiPriority w:val="99"/>
    <w:rPr>
      <w:rFonts w:ascii="仿宋" w:eastAsia="仿宋"/>
      <w:sz w:val="18"/>
      <w:szCs w:val="18"/>
    </w:rPr>
  </w:style>
  <w:style w:type="character" w:customStyle="1" w:styleId="15">
    <w:name w:val="页脚 Char"/>
    <w:basedOn w:val="9"/>
    <w:link w:val="6"/>
    <w:qFormat/>
    <w:uiPriority w:val="99"/>
    <w:rPr>
      <w:rFonts w:ascii="仿宋" w:eastAsia="仿宋"/>
      <w:sz w:val="18"/>
      <w:szCs w:val="18"/>
    </w:rPr>
  </w:style>
  <w:style w:type="character" w:customStyle="1" w:styleId="16">
    <w:name w:val="批注框文本 Char"/>
    <w:basedOn w:val="9"/>
    <w:link w:val="5"/>
    <w:semiHidden/>
    <w:uiPriority w:val="99"/>
    <w:rPr>
      <w:rFonts w:ascii="仿宋" w:eastAsia="仿宋"/>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4BC03-E926-4F9F-A9ED-95E23506FB22}">
  <ds:schemaRefs/>
</ds:datastoreItem>
</file>

<file path=docProps/app.xml><?xml version="1.0" encoding="utf-8"?>
<Properties xmlns="http://schemas.openxmlformats.org/officeDocument/2006/extended-properties" xmlns:vt="http://schemas.openxmlformats.org/officeDocument/2006/docPropsVTypes">
  <Template>Normal.dotm</Template>
  <Company>he</Company>
  <Pages>14</Pages>
  <Words>6998</Words>
  <Characters>7157</Characters>
  <Lines>51</Lines>
  <Paragraphs>14</Paragraphs>
  <TotalTime>1025</TotalTime>
  <ScaleCrop>false</ScaleCrop>
  <LinksUpToDate>false</LinksUpToDate>
  <CharactersWithSpaces>7176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2022-02-15T00:29:00Z</dcterms:created>
  <dc:creator>Lenovo</dc:creator>
  <cp:lastModifiedBy>Administrator</cp:lastModifiedBy>
  <cp:lastPrinted>2022-07-07T01:17:00Z</cp:lastPrinted>
  <dcterms:modified xsi:type="dcterms:W3CDTF">2022-09-29T02:06:20Z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6EDD2C66A22944D085505DB51EF77128</vt:lpwstr>
  </property>
</Properties>
</file>